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4"/>
        <w:gridCol w:w="4576"/>
      </w:tblGrid>
      <w:tr w:rsidR="00AD4BE6" w:rsidRPr="00AD4BE6" w14:paraId="4BE2526D" w14:textId="77777777" w:rsidTr="00AD4BE6">
        <w:tc>
          <w:tcPr>
            <w:tcW w:w="6297" w:type="dxa"/>
            <w:vAlign w:val="bottom"/>
            <w:hideMark/>
          </w:tcPr>
          <w:p w14:paraId="0EC8E532" w14:textId="77777777" w:rsidR="00AD4BE6" w:rsidRPr="00AD4BE6" w:rsidRDefault="00AD4BE6" w:rsidP="00AD4BE6">
            <w:pPr>
              <w:rPr>
                <w:noProof/>
              </w:rPr>
            </w:pPr>
            <w:r w:rsidRPr="00AD4BE6">
              <w:rPr>
                <w:noProof/>
              </w:rPr>
              <w:drawing>
                <wp:inline distT="0" distB="0" distL="0" distR="0" wp14:anchorId="35B09D8E" wp14:editId="53992C4C">
                  <wp:extent cx="2838450" cy="510540"/>
                  <wp:effectExtent l="0" t="0" r="0" b="381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510540"/>
                          </a:xfrm>
                          <a:prstGeom prst="rect">
                            <a:avLst/>
                          </a:prstGeom>
                          <a:noFill/>
                          <a:ln>
                            <a:noFill/>
                          </a:ln>
                        </pic:spPr>
                      </pic:pic>
                    </a:graphicData>
                  </a:graphic>
                </wp:inline>
              </w:drawing>
            </w:r>
          </w:p>
        </w:tc>
        <w:tc>
          <w:tcPr>
            <w:tcW w:w="6334" w:type="dxa"/>
            <w:vAlign w:val="bottom"/>
          </w:tcPr>
          <w:p w14:paraId="4C0D712D" w14:textId="77777777" w:rsidR="00AD4BE6" w:rsidRPr="00AD4BE6" w:rsidRDefault="00AD4BE6" w:rsidP="00AD4BE6">
            <w:pPr>
              <w:jc w:val="right"/>
              <w:rPr>
                <w:noProof/>
              </w:rPr>
            </w:pPr>
          </w:p>
          <w:p w14:paraId="3ABBA629" w14:textId="77777777" w:rsidR="00AD4BE6" w:rsidRPr="00AD4BE6" w:rsidRDefault="00AD4BE6" w:rsidP="00AD4BE6">
            <w:pPr>
              <w:jc w:val="right"/>
              <w:rPr>
                <w:noProof/>
              </w:rPr>
            </w:pPr>
            <w:r w:rsidRPr="00AD4BE6">
              <w:rPr>
                <w:noProof/>
              </w:rPr>
              <w:drawing>
                <wp:inline distT="0" distB="0" distL="0" distR="0" wp14:anchorId="3645460A" wp14:editId="1A9CACBA">
                  <wp:extent cx="1757680" cy="795655"/>
                  <wp:effectExtent l="0" t="0" r="0" b="444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t="12247" b="20374"/>
                          <a:stretch>
                            <a:fillRect/>
                          </a:stretch>
                        </pic:blipFill>
                        <pic:spPr bwMode="auto">
                          <a:xfrm>
                            <a:off x="0" y="0"/>
                            <a:ext cx="1757680" cy="795655"/>
                          </a:xfrm>
                          <a:prstGeom prst="rect">
                            <a:avLst/>
                          </a:prstGeom>
                          <a:noFill/>
                          <a:ln>
                            <a:noFill/>
                          </a:ln>
                        </pic:spPr>
                      </pic:pic>
                    </a:graphicData>
                  </a:graphic>
                </wp:inline>
              </w:drawing>
            </w:r>
          </w:p>
        </w:tc>
      </w:tr>
      <w:tr w:rsidR="00AD4BE6" w:rsidRPr="00AD4BE6" w14:paraId="2655082D" w14:textId="77777777" w:rsidTr="00AD4BE6">
        <w:tc>
          <w:tcPr>
            <w:tcW w:w="12631" w:type="dxa"/>
            <w:gridSpan w:val="2"/>
            <w:hideMark/>
          </w:tcPr>
          <w:p w14:paraId="44811024" w14:textId="77777777" w:rsidR="00AD4BE6" w:rsidRPr="00AD4BE6" w:rsidRDefault="00AD4BE6" w:rsidP="00AD4BE6">
            <w:r w:rsidRPr="00AD4BE6">
              <w:rPr>
                <w:noProof/>
              </w:rPr>
              <w:drawing>
                <wp:inline distT="0" distB="0" distL="0" distR="0" wp14:anchorId="079B0CCD" wp14:editId="6246D4E9">
                  <wp:extent cx="6792710" cy="1372895"/>
                  <wp:effectExtent l="0" t="0" r="825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4883" cy="1389503"/>
                          </a:xfrm>
                          <a:prstGeom prst="rect">
                            <a:avLst/>
                          </a:prstGeom>
                          <a:noFill/>
                          <a:ln>
                            <a:noFill/>
                          </a:ln>
                        </pic:spPr>
                      </pic:pic>
                    </a:graphicData>
                  </a:graphic>
                </wp:inline>
              </w:drawing>
            </w:r>
          </w:p>
        </w:tc>
      </w:tr>
      <w:tr w:rsidR="00AD4BE6" w:rsidRPr="00AD4BE6" w14:paraId="2E34883A" w14:textId="77777777" w:rsidTr="00AD4BE6">
        <w:tc>
          <w:tcPr>
            <w:tcW w:w="12631" w:type="dxa"/>
            <w:gridSpan w:val="2"/>
          </w:tcPr>
          <w:p w14:paraId="27276AAF" w14:textId="77777777" w:rsidR="00AD4BE6" w:rsidRPr="00AD4BE6" w:rsidRDefault="00AD4BE6" w:rsidP="00AD4BE6">
            <w:pPr>
              <w:rPr>
                <w:noProof/>
              </w:rPr>
            </w:pPr>
          </w:p>
        </w:tc>
      </w:tr>
      <w:tr w:rsidR="00AD4BE6" w:rsidRPr="00AD4BE6" w14:paraId="2B1A5258" w14:textId="77777777" w:rsidTr="00AD4BE6">
        <w:tc>
          <w:tcPr>
            <w:tcW w:w="12631" w:type="dxa"/>
            <w:gridSpan w:val="2"/>
            <w:hideMark/>
          </w:tcPr>
          <w:p w14:paraId="305AEBF1" w14:textId="77777777" w:rsidR="00AD4BE6" w:rsidRPr="00AD4BE6" w:rsidRDefault="00AD4BE6" w:rsidP="00AD4BE6">
            <w:pPr>
              <w:shd w:val="clear" w:color="auto" w:fill="FFFFFF"/>
              <w:spacing w:line="240" w:lineRule="atLeast"/>
              <w:jc w:val="center"/>
              <w:textAlignment w:val="baseline"/>
              <w:outlineLvl w:val="2"/>
              <w:rPr>
                <w:rFonts w:eastAsia="Times New Roman" w:cs="Calibri"/>
                <w:color w:val="005B84"/>
                <w:sz w:val="33"/>
                <w:szCs w:val="33"/>
              </w:rPr>
            </w:pPr>
            <w:r w:rsidRPr="00AD4BE6">
              <w:rPr>
                <w:rFonts w:eastAsia="Times New Roman" w:cs="Calibri"/>
                <w:b/>
                <w:bCs/>
                <w:color w:val="005B84"/>
                <w:sz w:val="33"/>
                <w:szCs w:val="33"/>
                <w:bdr w:val="none" w:sz="0" w:space="0" w:color="auto" w:frame="1"/>
              </w:rPr>
              <w:t>SUMMER 2021 WEBINAR SERIES ANNOUNCEMENT</w:t>
            </w:r>
          </w:p>
        </w:tc>
      </w:tr>
      <w:tr w:rsidR="00AD4BE6" w:rsidRPr="00AD4BE6" w14:paraId="450BDF4B" w14:textId="77777777" w:rsidTr="00AD4BE6">
        <w:tc>
          <w:tcPr>
            <w:tcW w:w="12631" w:type="dxa"/>
            <w:gridSpan w:val="2"/>
          </w:tcPr>
          <w:p w14:paraId="2BD5D2FC" w14:textId="77777777" w:rsidR="00AD4BE6" w:rsidRPr="00AD4BE6" w:rsidRDefault="00AD4BE6" w:rsidP="00AD4BE6">
            <w:pPr>
              <w:shd w:val="clear" w:color="auto" w:fill="FFFFFF"/>
              <w:spacing w:line="240" w:lineRule="atLeast"/>
              <w:jc w:val="center"/>
              <w:textAlignment w:val="baseline"/>
              <w:outlineLvl w:val="2"/>
              <w:rPr>
                <w:rFonts w:eastAsia="Times New Roman" w:cs="Calibri"/>
                <w:b/>
                <w:bCs/>
                <w:color w:val="005B84"/>
                <w:sz w:val="33"/>
                <w:szCs w:val="33"/>
                <w:bdr w:val="none" w:sz="0" w:space="0" w:color="auto" w:frame="1"/>
              </w:rPr>
            </w:pPr>
          </w:p>
        </w:tc>
      </w:tr>
      <w:tr w:rsidR="00AD4BE6" w:rsidRPr="00AD4BE6" w14:paraId="632D0F8A" w14:textId="77777777" w:rsidTr="00AD4BE6">
        <w:tc>
          <w:tcPr>
            <w:tcW w:w="12631" w:type="dxa"/>
            <w:gridSpan w:val="2"/>
          </w:tcPr>
          <w:p w14:paraId="7382209A" w14:textId="77777777" w:rsidR="00AD4BE6" w:rsidRPr="00AD4BE6" w:rsidRDefault="00AD4BE6" w:rsidP="00AD4BE6">
            <w:pPr>
              <w:jc w:val="center"/>
              <w:rPr>
                <w:rFonts w:ascii="trenda" w:hAnsi="trenda"/>
                <w:color w:val="414141"/>
                <w:sz w:val="27"/>
                <w:szCs w:val="27"/>
                <w:shd w:val="clear" w:color="auto" w:fill="FFFFFF"/>
              </w:rPr>
            </w:pPr>
            <w:r w:rsidRPr="00AD4BE6">
              <w:rPr>
                <w:rFonts w:ascii="trenda" w:hAnsi="trenda"/>
                <w:color w:val="414141"/>
                <w:sz w:val="27"/>
                <w:szCs w:val="27"/>
                <w:shd w:val="clear" w:color="auto" w:fill="FFFFFF"/>
              </w:rPr>
              <w:t>Despite enormous progress in reducing smoking, tobacco use is still the leading cause of preventable death in the United States and imposes a terrible toll on families, businesses and government. Anti-smoking efforts have not been directed toward people with behavioral health conditions as they have toward the general population resulting in tobacco-related disparities.</w:t>
            </w:r>
          </w:p>
          <w:p w14:paraId="6229A469" w14:textId="77777777" w:rsidR="00AD4BE6" w:rsidRPr="00AD4BE6" w:rsidRDefault="00AD4BE6" w:rsidP="00AD4BE6">
            <w:pPr>
              <w:jc w:val="center"/>
              <w:rPr>
                <w:rFonts w:ascii="trenda" w:hAnsi="trenda"/>
                <w:color w:val="414141"/>
                <w:sz w:val="27"/>
                <w:szCs w:val="27"/>
                <w:shd w:val="clear" w:color="auto" w:fill="FFFFFF"/>
              </w:rPr>
            </w:pPr>
          </w:p>
          <w:p w14:paraId="729542B5" w14:textId="77777777" w:rsidR="00AD4BE6" w:rsidRPr="00AD4BE6" w:rsidRDefault="00AD4BE6" w:rsidP="00AD4BE6">
            <w:pPr>
              <w:jc w:val="center"/>
            </w:pPr>
            <w:r w:rsidRPr="00AD4BE6">
              <w:rPr>
                <w:rFonts w:ascii="trenda" w:hAnsi="trenda"/>
                <w:color w:val="414141"/>
                <w:sz w:val="27"/>
                <w:szCs w:val="27"/>
                <w:shd w:val="clear" w:color="auto" w:fill="FFFFFF"/>
              </w:rPr>
              <w:t>The Washington State Health Care Authority and Washington State Department of Health are excited to host summer webinars on integrating tobacco treatment in behavioral health. Expert speakers will share their experience, knowledge, and best practices on the topics of tobacco cessation, pharmacotherapy, intervention, youth and adult treatment including criminal justice populations, policy guidance, and integrating tobacco treatment into organizations.</w:t>
            </w:r>
          </w:p>
        </w:tc>
      </w:tr>
      <w:tr w:rsidR="00AD4BE6" w:rsidRPr="00AD4BE6" w14:paraId="46F7506F" w14:textId="77777777" w:rsidTr="00AD4BE6">
        <w:tc>
          <w:tcPr>
            <w:tcW w:w="12631" w:type="dxa"/>
            <w:gridSpan w:val="2"/>
          </w:tcPr>
          <w:p w14:paraId="52BA0FA7" w14:textId="77777777" w:rsidR="00AD4BE6" w:rsidRPr="00AD4BE6" w:rsidRDefault="00AD4BE6" w:rsidP="00AD4BE6">
            <w:pPr>
              <w:jc w:val="center"/>
              <w:rPr>
                <w:rFonts w:ascii="trenda" w:hAnsi="trenda"/>
                <w:color w:val="414141"/>
                <w:sz w:val="27"/>
                <w:szCs w:val="27"/>
                <w:shd w:val="clear" w:color="auto" w:fill="FFFFFF"/>
              </w:rPr>
            </w:pPr>
          </w:p>
        </w:tc>
      </w:tr>
      <w:tr w:rsidR="00AD4BE6" w:rsidRPr="00AD4BE6" w14:paraId="5563226D" w14:textId="77777777" w:rsidTr="00AD4BE6">
        <w:tc>
          <w:tcPr>
            <w:tcW w:w="12631" w:type="dxa"/>
            <w:gridSpan w:val="2"/>
            <w:hideMark/>
          </w:tcPr>
          <w:p w14:paraId="18D59934" w14:textId="77777777" w:rsidR="00AD4BE6" w:rsidRPr="00AD4BE6" w:rsidRDefault="00AD4BE6" w:rsidP="00AD4BE6">
            <w:pPr>
              <w:jc w:val="center"/>
            </w:pPr>
            <w:r w:rsidRPr="00AD4BE6">
              <w:rPr>
                <w:rFonts w:ascii="trenda" w:hAnsi="trenda"/>
                <w:color w:val="414141"/>
                <w:sz w:val="27"/>
                <w:szCs w:val="27"/>
                <w:shd w:val="clear" w:color="auto" w:fill="FFFFFF"/>
              </w:rPr>
              <w:t>This webinar series is ideal for behavioral health professionals, tobacco use dependence treatment (TUDT) professionals, tobacco intervention specialists, or any public health professional who is interested in strengthening their knowledge and skills.</w:t>
            </w:r>
          </w:p>
        </w:tc>
      </w:tr>
      <w:tr w:rsidR="00AD4BE6" w:rsidRPr="00AD4BE6" w14:paraId="64564BB3" w14:textId="77777777" w:rsidTr="00AD4BE6">
        <w:tc>
          <w:tcPr>
            <w:tcW w:w="12631" w:type="dxa"/>
            <w:gridSpan w:val="2"/>
          </w:tcPr>
          <w:p w14:paraId="572C94D3" w14:textId="77777777" w:rsidR="00AD4BE6" w:rsidRPr="00AD4BE6" w:rsidRDefault="00AD4BE6" w:rsidP="00AD4BE6">
            <w:pPr>
              <w:jc w:val="center"/>
              <w:rPr>
                <w:rFonts w:ascii="trenda" w:hAnsi="trenda"/>
                <w:color w:val="414141"/>
                <w:sz w:val="27"/>
                <w:szCs w:val="27"/>
                <w:shd w:val="clear" w:color="auto" w:fill="FFFFFF"/>
              </w:rPr>
            </w:pPr>
          </w:p>
        </w:tc>
      </w:tr>
      <w:tr w:rsidR="00AD4BE6" w:rsidRPr="00AD4BE6" w14:paraId="0C7C733A" w14:textId="77777777" w:rsidTr="00AD4BE6">
        <w:tc>
          <w:tcPr>
            <w:tcW w:w="12631" w:type="dxa"/>
            <w:gridSpan w:val="2"/>
          </w:tcPr>
          <w:p w14:paraId="5DA30531" w14:textId="77777777" w:rsidR="00AD4BE6" w:rsidRPr="00AD4BE6" w:rsidRDefault="00645656" w:rsidP="00AD4BE6">
            <w:pPr>
              <w:shd w:val="clear" w:color="auto" w:fill="FFFFFF"/>
              <w:spacing w:line="240" w:lineRule="atLeast"/>
              <w:jc w:val="center"/>
              <w:textAlignment w:val="baseline"/>
              <w:outlineLvl w:val="2"/>
              <w:rPr>
                <w:b/>
                <w:color w:val="005B84"/>
                <w:sz w:val="45"/>
                <w:szCs w:val="45"/>
              </w:rPr>
            </w:pPr>
            <w:hyperlink r:id="rId12" w:tgtFrame="_blank" w:history="1">
              <w:r w:rsidR="00AD4BE6" w:rsidRPr="00AD4BE6">
                <w:rPr>
                  <w:rFonts w:cs="Calibri"/>
                  <w:b/>
                  <w:color w:val="005B84"/>
                  <w:sz w:val="44"/>
                  <w:szCs w:val="33"/>
                  <w:u w:val="single"/>
                </w:rPr>
                <w:t>CLICK HERE TO REGISTER AND LEARN MORE!</w:t>
              </w:r>
              <w:r w:rsidR="00AD4BE6" w:rsidRPr="00AD4BE6">
                <w:rPr>
                  <w:b/>
                  <w:bCs/>
                  <w:color w:val="0563C1"/>
                  <w:sz w:val="45"/>
                  <w:szCs w:val="45"/>
                  <w:u w:val="single"/>
                  <w:bdr w:val="none" w:sz="0" w:space="0" w:color="auto" w:frame="1"/>
                </w:rPr>
                <w:t xml:space="preserve"> </w:t>
              </w:r>
            </w:hyperlink>
          </w:p>
          <w:p w14:paraId="520B099B" w14:textId="77777777" w:rsidR="00AD4BE6" w:rsidRPr="00AD4BE6" w:rsidRDefault="00AD4BE6" w:rsidP="00AD4BE6">
            <w:pPr>
              <w:jc w:val="center"/>
            </w:pPr>
          </w:p>
        </w:tc>
      </w:tr>
      <w:tr w:rsidR="00AD4BE6" w:rsidRPr="00AD4BE6" w14:paraId="1A598BAA" w14:textId="77777777" w:rsidTr="00AD4BE6">
        <w:tc>
          <w:tcPr>
            <w:tcW w:w="12631" w:type="dxa"/>
            <w:gridSpan w:val="2"/>
            <w:hideMark/>
          </w:tcPr>
          <w:p w14:paraId="1D5D2B79" w14:textId="77777777" w:rsidR="00AD4BE6" w:rsidRPr="00AD4BE6" w:rsidRDefault="00AD4BE6" w:rsidP="00AD4BE6">
            <w:pPr>
              <w:shd w:val="clear" w:color="auto" w:fill="FFFFFF"/>
              <w:spacing w:line="240" w:lineRule="atLeast"/>
              <w:jc w:val="center"/>
              <w:textAlignment w:val="baseline"/>
              <w:outlineLvl w:val="2"/>
              <w:rPr>
                <w:rFonts w:eastAsia="Times New Roman" w:cs="Calibri"/>
                <w:b/>
                <w:bCs/>
                <w:caps/>
                <w:color w:val="000000"/>
                <w:sz w:val="33"/>
                <w:szCs w:val="33"/>
                <w:bdr w:val="none" w:sz="0" w:space="0" w:color="auto" w:frame="1"/>
              </w:rPr>
            </w:pPr>
            <w:r w:rsidRPr="00AD4BE6">
              <w:rPr>
                <w:rFonts w:eastAsia="Times New Roman" w:cs="Calibri"/>
                <w:b/>
                <w:bCs/>
                <w:caps/>
                <w:color w:val="000000"/>
                <w:sz w:val="33"/>
                <w:szCs w:val="33"/>
                <w:bdr w:val="none" w:sz="0" w:space="0" w:color="auto" w:frame="1"/>
              </w:rPr>
              <w:t>webinar topics</w:t>
            </w:r>
          </w:p>
        </w:tc>
      </w:tr>
      <w:tr w:rsidR="00AD4BE6" w:rsidRPr="00AD4BE6" w14:paraId="241C2522" w14:textId="77777777" w:rsidTr="00AD4BE6">
        <w:tc>
          <w:tcPr>
            <w:tcW w:w="12631" w:type="dxa"/>
            <w:gridSpan w:val="2"/>
            <w:vAlign w:val="center"/>
            <w:hideMark/>
          </w:tcPr>
          <w:p w14:paraId="784FAFE7" w14:textId="77777777" w:rsidR="00AD4BE6" w:rsidRPr="00AD4BE6" w:rsidRDefault="00645656" w:rsidP="00AD4BE6">
            <w:pPr>
              <w:keepNext/>
              <w:keepLines/>
              <w:shd w:val="clear" w:color="auto" w:fill="FFFFFF"/>
              <w:spacing w:line="240" w:lineRule="atLeast"/>
              <w:jc w:val="center"/>
              <w:textAlignment w:val="baseline"/>
              <w:outlineLvl w:val="1"/>
              <w:rPr>
                <w:rFonts w:ascii="Calibri Light" w:eastAsia="Times New Roman" w:hAnsi="Calibri Light"/>
                <w:color w:val="005B84"/>
                <w:sz w:val="28"/>
                <w:szCs w:val="39"/>
              </w:rPr>
            </w:pPr>
            <w:hyperlink r:id="rId13" w:history="1">
              <w:r w:rsidR="00AD4BE6" w:rsidRPr="00AD4BE6">
                <w:rPr>
                  <w:rFonts w:ascii="Calibri Light" w:eastAsia="Times New Roman" w:hAnsi="Calibri Light"/>
                  <w:b/>
                  <w:bCs/>
                  <w:color w:val="0563C1"/>
                  <w:sz w:val="28"/>
                  <w:szCs w:val="39"/>
                  <w:u w:val="single"/>
                </w:rPr>
                <w:t>The Need for Addressing Tobacco in Behavioral Health Settings</w:t>
              </w:r>
            </w:hyperlink>
          </w:p>
        </w:tc>
      </w:tr>
      <w:tr w:rsidR="00AD4BE6" w:rsidRPr="00AD4BE6" w14:paraId="555CB294" w14:textId="77777777" w:rsidTr="00AD4BE6">
        <w:tc>
          <w:tcPr>
            <w:tcW w:w="12631" w:type="dxa"/>
            <w:gridSpan w:val="2"/>
            <w:vAlign w:val="center"/>
            <w:hideMark/>
          </w:tcPr>
          <w:p w14:paraId="66C958B3" w14:textId="77777777" w:rsidR="00AD4BE6" w:rsidRPr="00AD4BE6" w:rsidRDefault="00645656" w:rsidP="00AD4BE6">
            <w:pPr>
              <w:keepNext/>
              <w:keepLines/>
              <w:shd w:val="clear" w:color="auto" w:fill="FFFFFF"/>
              <w:spacing w:line="240" w:lineRule="atLeast"/>
              <w:jc w:val="center"/>
              <w:textAlignment w:val="baseline"/>
              <w:outlineLvl w:val="1"/>
              <w:rPr>
                <w:rFonts w:ascii="Calibri Light" w:eastAsia="Times New Roman" w:hAnsi="Calibri Light"/>
                <w:color w:val="005B84"/>
                <w:sz w:val="28"/>
                <w:szCs w:val="39"/>
              </w:rPr>
            </w:pPr>
            <w:hyperlink r:id="rId14" w:history="1">
              <w:r w:rsidR="00AD4BE6" w:rsidRPr="00AD4BE6">
                <w:rPr>
                  <w:rFonts w:ascii="Calibri Light" w:eastAsia="Times New Roman" w:hAnsi="Calibri Light"/>
                  <w:b/>
                  <w:bCs/>
                  <w:color w:val="0563C1"/>
                  <w:sz w:val="28"/>
                  <w:szCs w:val="39"/>
                  <w:u w:val="single"/>
                </w:rPr>
                <w:t>Changing the Treatment System Environment to Better Address Tobacco</w:t>
              </w:r>
            </w:hyperlink>
          </w:p>
        </w:tc>
      </w:tr>
      <w:tr w:rsidR="00AD4BE6" w:rsidRPr="00AD4BE6" w14:paraId="6D41972B" w14:textId="77777777" w:rsidTr="00AD4BE6">
        <w:tc>
          <w:tcPr>
            <w:tcW w:w="12631" w:type="dxa"/>
            <w:gridSpan w:val="2"/>
            <w:vAlign w:val="center"/>
            <w:hideMark/>
          </w:tcPr>
          <w:p w14:paraId="603BB2A7" w14:textId="77777777" w:rsidR="00AD4BE6" w:rsidRPr="00AD4BE6" w:rsidRDefault="00645656" w:rsidP="00AD4BE6">
            <w:pPr>
              <w:keepNext/>
              <w:keepLines/>
              <w:shd w:val="clear" w:color="auto" w:fill="FFFFFF"/>
              <w:spacing w:line="240" w:lineRule="atLeast"/>
              <w:jc w:val="center"/>
              <w:textAlignment w:val="baseline"/>
              <w:outlineLvl w:val="1"/>
              <w:rPr>
                <w:rFonts w:ascii="Calibri Light" w:eastAsia="Times New Roman" w:hAnsi="Calibri Light"/>
                <w:color w:val="005B84"/>
                <w:sz w:val="28"/>
                <w:szCs w:val="39"/>
              </w:rPr>
            </w:pPr>
            <w:hyperlink r:id="rId15" w:history="1">
              <w:r w:rsidR="00AD4BE6" w:rsidRPr="00AD4BE6">
                <w:rPr>
                  <w:rFonts w:ascii="Calibri Light" w:eastAsia="Times New Roman" w:hAnsi="Calibri Light"/>
                  <w:b/>
                  <w:bCs/>
                  <w:color w:val="0563C1"/>
                  <w:sz w:val="28"/>
                  <w:szCs w:val="39"/>
                  <w:u w:val="single"/>
                </w:rPr>
                <w:t>Quitline Services &amp; Referrals</w:t>
              </w:r>
            </w:hyperlink>
          </w:p>
        </w:tc>
      </w:tr>
      <w:tr w:rsidR="00AD4BE6" w:rsidRPr="00AD4BE6" w14:paraId="2F062E8B" w14:textId="77777777" w:rsidTr="00AD4BE6">
        <w:tc>
          <w:tcPr>
            <w:tcW w:w="12631" w:type="dxa"/>
            <w:gridSpan w:val="2"/>
            <w:vAlign w:val="center"/>
            <w:hideMark/>
          </w:tcPr>
          <w:p w14:paraId="0851390C" w14:textId="77777777" w:rsidR="00AD4BE6" w:rsidRPr="00AD4BE6" w:rsidRDefault="00645656" w:rsidP="00AD4BE6">
            <w:pPr>
              <w:keepNext/>
              <w:keepLines/>
              <w:shd w:val="clear" w:color="auto" w:fill="FFFFFF"/>
              <w:spacing w:line="240" w:lineRule="atLeast"/>
              <w:jc w:val="center"/>
              <w:textAlignment w:val="baseline"/>
              <w:outlineLvl w:val="1"/>
              <w:rPr>
                <w:rFonts w:ascii="Calibri Light" w:eastAsia="Times New Roman" w:hAnsi="Calibri Light"/>
                <w:color w:val="005B84"/>
                <w:sz w:val="28"/>
                <w:szCs w:val="39"/>
              </w:rPr>
            </w:pPr>
            <w:hyperlink r:id="rId16" w:history="1">
              <w:r w:rsidR="00AD4BE6" w:rsidRPr="00AD4BE6">
                <w:rPr>
                  <w:rFonts w:ascii="Calibri Light" w:eastAsia="Times New Roman" w:hAnsi="Calibri Light"/>
                  <w:b/>
                  <w:bCs/>
                  <w:color w:val="0563C1"/>
                  <w:sz w:val="28"/>
                  <w:szCs w:val="39"/>
                  <w:u w:val="single"/>
                </w:rPr>
                <w:t>Evidence-based Tobacco Treatment Pharmacotherapy for Use in Behavioral Health Settings</w:t>
              </w:r>
            </w:hyperlink>
          </w:p>
        </w:tc>
      </w:tr>
      <w:tr w:rsidR="00AD4BE6" w:rsidRPr="00AD4BE6" w14:paraId="41454815" w14:textId="77777777" w:rsidTr="00AD4BE6">
        <w:tc>
          <w:tcPr>
            <w:tcW w:w="12631" w:type="dxa"/>
            <w:gridSpan w:val="2"/>
            <w:vAlign w:val="center"/>
            <w:hideMark/>
          </w:tcPr>
          <w:p w14:paraId="1B345248" w14:textId="77777777" w:rsidR="00AD4BE6" w:rsidRPr="00AD4BE6" w:rsidRDefault="00645656" w:rsidP="00AD4BE6">
            <w:pPr>
              <w:keepNext/>
              <w:keepLines/>
              <w:shd w:val="clear" w:color="auto" w:fill="FFFFFF"/>
              <w:spacing w:line="240" w:lineRule="atLeast"/>
              <w:jc w:val="center"/>
              <w:textAlignment w:val="baseline"/>
              <w:outlineLvl w:val="1"/>
              <w:rPr>
                <w:rFonts w:ascii="Calibri Light" w:eastAsia="Times New Roman" w:hAnsi="Calibri Light"/>
                <w:color w:val="005B84"/>
                <w:sz w:val="28"/>
                <w:szCs w:val="39"/>
              </w:rPr>
            </w:pPr>
            <w:hyperlink r:id="rId17" w:history="1">
              <w:r w:rsidR="00AD4BE6" w:rsidRPr="00AD4BE6">
                <w:rPr>
                  <w:rFonts w:ascii="Calibri Light" w:eastAsia="Times New Roman" w:hAnsi="Calibri Light"/>
                  <w:b/>
                  <w:bCs/>
                  <w:color w:val="0563C1"/>
                  <w:sz w:val="28"/>
                  <w:szCs w:val="39"/>
                  <w:u w:val="single"/>
                </w:rPr>
                <w:t>Introduction to Motivational Interviewing for Tobacco Use Disorder</w:t>
              </w:r>
            </w:hyperlink>
          </w:p>
        </w:tc>
      </w:tr>
      <w:tr w:rsidR="00AD4BE6" w:rsidRPr="00AD4BE6" w14:paraId="6CA0E069" w14:textId="77777777" w:rsidTr="00AD4BE6">
        <w:tc>
          <w:tcPr>
            <w:tcW w:w="12631" w:type="dxa"/>
            <w:gridSpan w:val="2"/>
            <w:vAlign w:val="center"/>
            <w:hideMark/>
          </w:tcPr>
          <w:p w14:paraId="19EB22C0" w14:textId="77777777" w:rsidR="00AD4BE6" w:rsidRPr="00AD4BE6" w:rsidRDefault="00645656" w:rsidP="00AD4BE6">
            <w:pPr>
              <w:keepNext/>
              <w:keepLines/>
              <w:shd w:val="clear" w:color="auto" w:fill="FFFFFF"/>
              <w:spacing w:line="240" w:lineRule="atLeast"/>
              <w:jc w:val="center"/>
              <w:textAlignment w:val="baseline"/>
              <w:outlineLvl w:val="1"/>
              <w:rPr>
                <w:rFonts w:ascii="Calibri Light" w:eastAsia="Times New Roman" w:hAnsi="Calibri Light"/>
                <w:color w:val="005B84"/>
                <w:sz w:val="28"/>
                <w:szCs w:val="39"/>
              </w:rPr>
            </w:pPr>
            <w:hyperlink r:id="rId18" w:history="1">
              <w:r w:rsidR="00AD4BE6" w:rsidRPr="00AD4BE6">
                <w:rPr>
                  <w:rFonts w:ascii="Calibri Light" w:eastAsia="Times New Roman" w:hAnsi="Calibri Light"/>
                  <w:b/>
                  <w:bCs/>
                  <w:color w:val="0563C1"/>
                  <w:sz w:val="28"/>
                  <w:szCs w:val="39"/>
                  <w:u w:val="single"/>
                </w:rPr>
                <w:t>Treating Youth Tobacco Use</w:t>
              </w:r>
            </w:hyperlink>
          </w:p>
        </w:tc>
      </w:tr>
      <w:tr w:rsidR="00AD4BE6" w:rsidRPr="00AD4BE6" w14:paraId="66BB0451" w14:textId="77777777" w:rsidTr="00AD4BE6">
        <w:tc>
          <w:tcPr>
            <w:tcW w:w="12631" w:type="dxa"/>
            <w:gridSpan w:val="2"/>
            <w:vAlign w:val="center"/>
            <w:hideMark/>
          </w:tcPr>
          <w:p w14:paraId="72CE12FA" w14:textId="77777777" w:rsidR="00AD4BE6" w:rsidRPr="00AD4BE6" w:rsidRDefault="00645656" w:rsidP="00AD4BE6">
            <w:pPr>
              <w:keepNext/>
              <w:keepLines/>
              <w:shd w:val="clear" w:color="auto" w:fill="FFFFFF"/>
              <w:spacing w:line="240" w:lineRule="atLeast"/>
              <w:jc w:val="center"/>
              <w:textAlignment w:val="baseline"/>
              <w:outlineLvl w:val="1"/>
              <w:rPr>
                <w:rFonts w:ascii="Calibri Light" w:eastAsia="Times New Roman" w:hAnsi="Calibri Light"/>
                <w:color w:val="005B84"/>
                <w:sz w:val="28"/>
                <w:szCs w:val="39"/>
              </w:rPr>
            </w:pPr>
            <w:hyperlink r:id="rId19" w:history="1">
              <w:r w:rsidR="00AD4BE6" w:rsidRPr="00AD4BE6">
                <w:rPr>
                  <w:rFonts w:ascii="Calibri Light" w:eastAsia="Times New Roman" w:hAnsi="Calibri Light"/>
                  <w:b/>
                  <w:bCs/>
                  <w:color w:val="0563C1"/>
                  <w:sz w:val="28"/>
                  <w:szCs w:val="39"/>
                  <w:u w:val="single"/>
                </w:rPr>
                <w:t>Treating Tobacco Dependence in Corrections Settings</w:t>
              </w:r>
            </w:hyperlink>
          </w:p>
        </w:tc>
      </w:tr>
    </w:tbl>
    <w:p w14:paraId="2FA18F3D" w14:textId="77777777" w:rsidR="00B602A6" w:rsidRDefault="00B602A6"/>
    <w:sectPr w:rsidR="00B602A6" w:rsidSect="00AD4B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C3B9" w14:textId="77777777" w:rsidR="00645656" w:rsidRDefault="00645656" w:rsidP="00645656">
      <w:pPr>
        <w:spacing w:after="0" w:line="240" w:lineRule="auto"/>
      </w:pPr>
      <w:r>
        <w:separator/>
      </w:r>
    </w:p>
  </w:endnote>
  <w:endnote w:type="continuationSeparator" w:id="0">
    <w:p w14:paraId="19358E8F" w14:textId="77777777" w:rsidR="00645656" w:rsidRDefault="00645656" w:rsidP="0064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nd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2743" w14:textId="77777777" w:rsidR="00645656" w:rsidRDefault="00645656" w:rsidP="00645656">
      <w:pPr>
        <w:spacing w:after="0" w:line="240" w:lineRule="auto"/>
      </w:pPr>
      <w:r>
        <w:separator/>
      </w:r>
    </w:p>
  </w:footnote>
  <w:footnote w:type="continuationSeparator" w:id="0">
    <w:p w14:paraId="49C8FB89" w14:textId="77777777" w:rsidR="00645656" w:rsidRDefault="00645656" w:rsidP="00645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E6"/>
    <w:rsid w:val="00645656"/>
    <w:rsid w:val="00AD4BE6"/>
    <w:rsid w:val="00B6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80C1"/>
  <w15:chartTrackingRefBased/>
  <w15:docId w15:val="{806D00B2-205E-4998-890A-1AED13E9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B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ventcoalition.org/webinar-series/" TargetMode="External"/><Relationship Id="rId18" Type="http://schemas.openxmlformats.org/officeDocument/2006/relationships/hyperlink" Target="https://www.preventcoalition.org/webinar-ser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eventcoalition.org/webinar-series/" TargetMode="External"/><Relationship Id="rId17" Type="http://schemas.openxmlformats.org/officeDocument/2006/relationships/hyperlink" Target="https://www.preventcoalition.org/webinar-series/" TargetMode="External"/><Relationship Id="rId2" Type="http://schemas.openxmlformats.org/officeDocument/2006/relationships/customXml" Target="../customXml/item2.xml"/><Relationship Id="rId16" Type="http://schemas.openxmlformats.org/officeDocument/2006/relationships/hyperlink" Target="https://www.preventcoalition.org/webinar-se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preventcoalition.org/webinar-series/" TargetMode="External"/><Relationship Id="rId10" Type="http://schemas.openxmlformats.org/officeDocument/2006/relationships/image" Target="media/image2.png"/><Relationship Id="rId19" Type="http://schemas.openxmlformats.org/officeDocument/2006/relationships/hyperlink" Target="https://www.preventcoalition.org/webinar-ser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eventcoalition.org/webina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70EE6F2702C47BFF9143AA1CCDF78" ma:contentTypeVersion="13" ma:contentTypeDescription="Create a new document." ma:contentTypeScope="" ma:versionID="75d003014e881c4cd763a6607e33969e">
  <xsd:schema xmlns:xsd="http://www.w3.org/2001/XMLSchema" xmlns:xs="http://www.w3.org/2001/XMLSchema" xmlns:p="http://schemas.microsoft.com/office/2006/metadata/properties" xmlns:ns3="3dd006a0-1e4f-410f-a195-e9053933957c" xmlns:ns4="e71fc199-8ea1-4ab7-9278-c223434b6ed9" targetNamespace="http://schemas.microsoft.com/office/2006/metadata/properties" ma:root="true" ma:fieldsID="a34eee8d23b25ab574083a9d501dd931" ns3:_="" ns4:_="">
    <xsd:import namespace="3dd006a0-1e4f-410f-a195-e9053933957c"/>
    <xsd:import namespace="e71fc199-8ea1-4ab7-9278-c223434b6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006a0-1e4f-410f-a195-e90539339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fc199-8ea1-4ab7-9278-c223434b6e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2963A-2C39-4761-B1C5-9EFF73C894B9}">
  <ds:schemaRefs>
    <ds:schemaRef ds:uri="http://schemas.microsoft.com/office/2006/metadata/properties"/>
    <ds:schemaRef ds:uri="e71fc199-8ea1-4ab7-9278-c223434b6ed9"/>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3dd006a0-1e4f-410f-a195-e9053933957c"/>
  </ds:schemaRefs>
</ds:datastoreItem>
</file>

<file path=customXml/itemProps2.xml><?xml version="1.0" encoding="utf-8"?>
<ds:datastoreItem xmlns:ds="http://schemas.openxmlformats.org/officeDocument/2006/customXml" ds:itemID="{07FBFE98-EC03-4B11-9773-50026606FD6E}">
  <ds:schemaRefs>
    <ds:schemaRef ds:uri="http://schemas.microsoft.com/sharepoint/v3/contenttype/forms"/>
  </ds:schemaRefs>
</ds:datastoreItem>
</file>

<file path=customXml/itemProps3.xml><?xml version="1.0" encoding="utf-8"?>
<ds:datastoreItem xmlns:ds="http://schemas.openxmlformats.org/officeDocument/2006/customXml" ds:itemID="{15E8EA02-C4A1-48AC-BC08-E3C67D401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006a0-1e4f-410f-a195-e9053933957c"/>
    <ds:schemaRef ds:uri="e71fc199-8ea1-4ab7-9278-c223434b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Cox</dc:creator>
  <cp:keywords/>
  <dc:description/>
  <cp:lastModifiedBy>Penner, Jacqueline (HCA)</cp:lastModifiedBy>
  <cp:revision>2</cp:revision>
  <dcterms:created xsi:type="dcterms:W3CDTF">2021-06-01T13:54:00Z</dcterms:created>
  <dcterms:modified xsi:type="dcterms:W3CDTF">2021-06-01T13:54:00Z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0x0101006F270EE6F2702C47BFF9143AA1CCDF78</vt:lpwstr>
  </property>
</Properties>
</file>