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1C1" w:rsidRDefault="00410EAA">
      <w:bookmarkStart w:id="0" w:name="_GoBack"/>
      <w:r w:rsidRPr="00410EAA">
        <w:drawing>
          <wp:inline distT="0" distB="0" distL="0" distR="0">
            <wp:extent cx="8871456" cy="4835525"/>
            <wp:effectExtent l="0" t="0" r="635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5451C1" w:rsidSect="00410E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AA"/>
    <w:rsid w:val="00410EAA"/>
    <w:rsid w:val="0054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4B753D-4DBA-4929-82BE-E33DB9F0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en-US"/>
              <a:t>Correlations of Communities That Care Student Survey Scales, by Ethnicity
Antisocial Behavior</a:t>
            </a:r>
          </a:p>
        </c:rich>
      </c:tx>
      <c:layout>
        <c:manualLayout>
          <c:xMode val="edge"/>
          <c:yMode val="edge"/>
          <c:x val="0.14297159035676096"/>
          <c:y val="2.1789625820014453E-3"/>
        </c:manualLayout>
      </c:layout>
      <c:overlay val="0"/>
      <c:spPr>
        <a:noFill/>
        <a:ln w="2534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8607594936708861E-2"/>
          <c:y val="0.16762177650429799"/>
          <c:w val="0.75105485232067515"/>
          <c:h val="0.54011461318051579"/>
        </c:manualLayout>
      </c:layout>
      <c:lineChart>
        <c:grouping val="standard"/>
        <c:varyColors val="0"/>
        <c:ser>
          <c:idx val="0"/>
          <c:order val="0"/>
          <c:tx>
            <c:strRef>
              <c:f>Ethnic!$B$42:$B$43</c:f>
              <c:strCache>
                <c:ptCount val="2"/>
                <c:pt idx="0">
                  <c:v>White </c:v>
                </c:pt>
                <c:pt idx="1">
                  <c:v>American</c:v>
                </c:pt>
              </c:strCache>
            </c:strRef>
          </c:tx>
          <c:spPr>
            <a:ln w="19010">
              <a:noFill/>
            </a:ln>
          </c:spPr>
          <c:marker>
            <c:symbol val="diamond"/>
            <c:size val="4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Ethnic!$A$44:$A$77</c:f>
              <c:strCache>
                <c:ptCount val="34"/>
                <c:pt idx="0">
                  <c:v>Low neighborhood attach.</c:v>
                </c:pt>
                <c:pt idx="1">
                  <c:v>Neighborhood disorg.</c:v>
                </c:pt>
                <c:pt idx="2">
                  <c:v>Pers. transition &amp; mobility</c:v>
                </c:pt>
                <c:pt idx="3">
                  <c:v>Transition &amp; mobility</c:v>
                </c:pt>
                <c:pt idx="4">
                  <c:v>Laws and norms</c:v>
                </c:pt>
                <c:pt idx="5">
                  <c:v>Perceived availability</c:v>
                </c:pt>
                <c:pt idx="6">
                  <c:v>Comm Opps for Prosocial Inv</c:v>
                </c:pt>
                <c:pt idx="7">
                  <c:v>Comm Rewards for Prosocial Inv</c:v>
                </c:pt>
                <c:pt idx="8">
                  <c:v>School academic failure</c:v>
                </c:pt>
                <c:pt idx="9">
                  <c:v>Low school commitment</c:v>
                </c:pt>
                <c:pt idx="10">
                  <c:v>School Opps for Prosocial Inv</c:v>
                </c:pt>
                <c:pt idx="11">
                  <c:v>School Rewards for Prosocial Inv</c:v>
                </c:pt>
                <c:pt idx="12">
                  <c:v>Poor family supervision</c:v>
                </c:pt>
                <c:pt idx="13">
                  <c:v>Poor family discipline</c:v>
                </c:pt>
                <c:pt idx="14">
                  <c:v>Family conflict</c:v>
                </c:pt>
                <c:pt idx="15">
                  <c:v>Family history of ASB</c:v>
                </c:pt>
                <c:pt idx="16">
                  <c:v>Par. attitudes favor drugs</c:v>
                </c:pt>
                <c:pt idx="17">
                  <c:v>Par. attitudes favor ASB</c:v>
                </c:pt>
                <c:pt idx="18">
                  <c:v>Fam Attachment</c:v>
                </c:pt>
                <c:pt idx="19">
                  <c:v>Fam Opps for Prosocial Inv</c:v>
                </c:pt>
                <c:pt idx="20">
                  <c:v>Fam Rewards for Prosocial Inv</c:v>
                </c:pt>
                <c:pt idx="21">
                  <c:v>Rebelliousness</c:v>
                </c:pt>
                <c:pt idx="22">
                  <c:v>Early initiation</c:v>
                </c:pt>
                <c:pt idx="23">
                  <c:v>Impulsiveness</c:v>
                </c:pt>
                <c:pt idx="24">
                  <c:v>Attitudes favor ASB</c:v>
                </c:pt>
                <c:pt idx="25">
                  <c:v>Attitudes favor drugs</c:v>
                </c:pt>
                <c:pt idx="26">
                  <c:v>Low perceived risks of drug use</c:v>
                </c:pt>
                <c:pt idx="27">
                  <c:v>Interaction with anti-social peers</c:v>
                </c:pt>
                <c:pt idx="28">
                  <c:v>Friends' use of drugs</c:v>
                </c:pt>
                <c:pt idx="29">
                  <c:v>Sensation seeking</c:v>
                </c:pt>
                <c:pt idx="30">
                  <c:v>Rewards for ASB</c:v>
                </c:pt>
                <c:pt idx="31">
                  <c:v>Religiosity</c:v>
                </c:pt>
                <c:pt idx="32">
                  <c:v>Social Skills</c:v>
                </c:pt>
                <c:pt idx="33">
                  <c:v>Belief in the Moral Order</c:v>
                </c:pt>
              </c:strCache>
            </c:strRef>
          </c:cat>
          <c:val>
            <c:numRef>
              <c:f>Ethnic!$B$44:$B$77</c:f>
              <c:numCache>
                <c:formatCode>General</c:formatCode>
                <c:ptCount val="34"/>
                <c:pt idx="0">
                  <c:v>0.12840164196052764</c:v>
                </c:pt>
                <c:pt idx="1">
                  <c:v>0.20283771348633467</c:v>
                </c:pt>
                <c:pt idx="2">
                  <c:v>0.13338157844436427</c:v>
                </c:pt>
                <c:pt idx="3">
                  <c:v>6.3428640358582908E-2</c:v>
                </c:pt>
                <c:pt idx="4">
                  <c:v>0.2828004933956263</c:v>
                </c:pt>
                <c:pt idx="5">
                  <c:v>0.31060525170120451</c:v>
                </c:pt>
                <c:pt idx="6">
                  <c:v>-0.113633069237061</c:v>
                </c:pt>
                <c:pt idx="7">
                  <c:v>-0.15745099391955594</c:v>
                </c:pt>
                <c:pt idx="8">
                  <c:v>0.22857851869291487</c:v>
                </c:pt>
                <c:pt idx="9">
                  <c:v>0.33546070138263218</c:v>
                </c:pt>
                <c:pt idx="10">
                  <c:v>-0.18192497514914213</c:v>
                </c:pt>
                <c:pt idx="11">
                  <c:v>-0.18653243599720087</c:v>
                </c:pt>
                <c:pt idx="12">
                  <c:v>0.24172084409087938</c:v>
                </c:pt>
                <c:pt idx="13">
                  <c:v>0.25381994811226011</c:v>
                </c:pt>
                <c:pt idx="14">
                  <c:v>0.13630228618102896</c:v>
                </c:pt>
                <c:pt idx="15">
                  <c:v>0.35904092633463736</c:v>
                </c:pt>
                <c:pt idx="16">
                  <c:v>0.33964719699039925</c:v>
                </c:pt>
                <c:pt idx="17">
                  <c:v>0.33068092485207068</c:v>
                </c:pt>
                <c:pt idx="18">
                  <c:v>-0.19320878453477794</c:v>
                </c:pt>
                <c:pt idx="19">
                  <c:v>-0.20417801783485481</c:v>
                </c:pt>
                <c:pt idx="20">
                  <c:v>-0.21634985736300399</c:v>
                </c:pt>
                <c:pt idx="21">
                  <c:v>0.32252641389586822</c:v>
                </c:pt>
                <c:pt idx="22">
                  <c:v>0.53852639876271235</c:v>
                </c:pt>
                <c:pt idx="23">
                  <c:v>0.20626798247646694</c:v>
                </c:pt>
                <c:pt idx="24">
                  <c:v>0.43300575741217656</c:v>
                </c:pt>
                <c:pt idx="25">
                  <c:v>0.44009276404789444</c:v>
                </c:pt>
                <c:pt idx="26">
                  <c:v>0.29881237349006795</c:v>
                </c:pt>
                <c:pt idx="27">
                  <c:v>0.58313412537275822</c:v>
                </c:pt>
                <c:pt idx="28">
                  <c:v>0.42167459104432659</c:v>
                </c:pt>
                <c:pt idx="29">
                  <c:v>0.36290482591166023</c:v>
                </c:pt>
                <c:pt idx="30">
                  <c:v>0.2340105365220759</c:v>
                </c:pt>
                <c:pt idx="31">
                  <c:v>-0.15932084630083304</c:v>
                </c:pt>
                <c:pt idx="32">
                  <c:v>-0.40199374365671431</c:v>
                </c:pt>
                <c:pt idx="33">
                  <c:v>-0.35686063206548763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A42-47EC-86FB-A8FF58636AC3}"/>
            </c:ext>
          </c:extLst>
        </c:ser>
        <c:ser>
          <c:idx val="1"/>
          <c:order val="1"/>
          <c:tx>
            <c:strRef>
              <c:f>Ethnic!$C$42:$C$43</c:f>
              <c:strCache>
                <c:ptCount val="2"/>
                <c:pt idx="0">
                  <c:v>African</c:v>
                </c:pt>
                <c:pt idx="1">
                  <c:v>American</c:v>
                </c:pt>
              </c:strCache>
            </c:strRef>
          </c:tx>
          <c:spPr>
            <a:ln w="19010">
              <a:noFill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Ethnic!$A$44:$A$77</c:f>
              <c:strCache>
                <c:ptCount val="34"/>
                <c:pt idx="0">
                  <c:v>Low neighborhood attach.</c:v>
                </c:pt>
                <c:pt idx="1">
                  <c:v>Neighborhood disorg.</c:v>
                </c:pt>
                <c:pt idx="2">
                  <c:v>Pers. transition &amp; mobility</c:v>
                </c:pt>
                <c:pt idx="3">
                  <c:v>Transition &amp; mobility</c:v>
                </c:pt>
                <c:pt idx="4">
                  <c:v>Laws and norms</c:v>
                </c:pt>
                <c:pt idx="5">
                  <c:v>Perceived availability</c:v>
                </c:pt>
                <c:pt idx="6">
                  <c:v>Comm Opps for Prosocial Inv</c:v>
                </c:pt>
                <c:pt idx="7">
                  <c:v>Comm Rewards for Prosocial Inv</c:v>
                </c:pt>
                <c:pt idx="8">
                  <c:v>School academic failure</c:v>
                </c:pt>
                <c:pt idx="9">
                  <c:v>Low school commitment</c:v>
                </c:pt>
                <c:pt idx="10">
                  <c:v>School Opps for Prosocial Inv</c:v>
                </c:pt>
                <c:pt idx="11">
                  <c:v>School Rewards for Prosocial Inv</c:v>
                </c:pt>
                <c:pt idx="12">
                  <c:v>Poor family supervision</c:v>
                </c:pt>
                <c:pt idx="13">
                  <c:v>Poor family discipline</c:v>
                </c:pt>
                <c:pt idx="14">
                  <c:v>Family conflict</c:v>
                </c:pt>
                <c:pt idx="15">
                  <c:v>Family history of ASB</c:v>
                </c:pt>
                <c:pt idx="16">
                  <c:v>Par. attitudes favor drugs</c:v>
                </c:pt>
                <c:pt idx="17">
                  <c:v>Par. attitudes favor ASB</c:v>
                </c:pt>
                <c:pt idx="18">
                  <c:v>Fam Attachment</c:v>
                </c:pt>
                <c:pt idx="19">
                  <c:v>Fam Opps for Prosocial Inv</c:v>
                </c:pt>
                <c:pt idx="20">
                  <c:v>Fam Rewards for Prosocial Inv</c:v>
                </c:pt>
                <c:pt idx="21">
                  <c:v>Rebelliousness</c:v>
                </c:pt>
                <c:pt idx="22">
                  <c:v>Early initiation</c:v>
                </c:pt>
                <c:pt idx="23">
                  <c:v>Impulsiveness</c:v>
                </c:pt>
                <c:pt idx="24">
                  <c:v>Attitudes favor ASB</c:v>
                </c:pt>
                <c:pt idx="25">
                  <c:v>Attitudes favor drugs</c:v>
                </c:pt>
                <c:pt idx="26">
                  <c:v>Low perceived risks of drug use</c:v>
                </c:pt>
                <c:pt idx="27">
                  <c:v>Interaction with anti-social peers</c:v>
                </c:pt>
                <c:pt idx="28">
                  <c:v>Friends' use of drugs</c:v>
                </c:pt>
                <c:pt idx="29">
                  <c:v>Sensation seeking</c:v>
                </c:pt>
                <c:pt idx="30">
                  <c:v>Rewards for ASB</c:v>
                </c:pt>
                <c:pt idx="31">
                  <c:v>Religiosity</c:v>
                </c:pt>
                <c:pt idx="32">
                  <c:v>Social Skills</c:v>
                </c:pt>
                <c:pt idx="33">
                  <c:v>Belief in the Moral Order</c:v>
                </c:pt>
              </c:strCache>
            </c:strRef>
          </c:cat>
          <c:val>
            <c:numRef>
              <c:f>Ethnic!$C$44:$C$77</c:f>
              <c:numCache>
                <c:formatCode>General</c:formatCode>
                <c:ptCount val="34"/>
                <c:pt idx="0">
                  <c:v>-3.5613262162963628E-2</c:v>
                </c:pt>
                <c:pt idx="1">
                  <c:v>0.17330440849233533</c:v>
                </c:pt>
                <c:pt idx="2">
                  <c:v>0.12394192383729646</c:v>
                </c:pt>
                <c:pt idx="3">
                  <c:v>7.3847022951079491E-2</c:v>
                </c:pt>
                <c:pt idx="4">
                  <c:v>0.30748221226076972</c:v>
                </c:pt>
                <c:pt idx="5">
                  <c:v>0.28714124720644807</c:v>
                </c:pt>
                <c:pt idx="6">
                  <c:v>-7.9431861219964831E-2</c:v>
                </c:pt>
                <c:pt idx="7">
                  <c:v>-6.2186127723373882E-2</c:v>
                </c:pt>
                <c:pt idx="8">
                  <c:v>0.15687911900413767</c:v>
                </c:pt>
                <c:pt idx="9">
                  <c:v>0.31192790053089753</c:v>
                </c:pt>
                <c:pt idx="10">
                  <c:v>-0.17544036472981306</c:v>
                </c:pt>
                <c:pt idx="11">
                  <c:v>-0.14974138885810459</c:v>
                </c:pt>
                <c:pt idx="12">
                  <c:v>0.19809828168824811</c:v>
                </c:pt>
                <c:pt idx="13">
                  <c:v>0.21640216708946275</c:v>
                </c:pt>
                <c:pt idx="14">
                  <c:v>7.3407356549788597E-2</c:v>
                </c:pt>
                <c:pt idx="15">
                  <c:v>0.28747300440492873</c:v>
                </c:pt>
                <c:pt idx="16">
                  <c:v>0.42913924166207162</c:v>
                </c:pt>
                <c:pt idx="17">
                  <c:v>0.4395172538250518</c:v>
                </c:pt>
                <c:pt idx="18">
                  <c:v>-7.260953873796426E-2</c:v>
                </c:pt>
                <c:pt idx="19">
                  <c:v>-0.10380396758965389</c:v>
                </c:pt>
                <c:pt idx="20">
                  <c:v>-9.7822713931991115E-2</c:v>
                </c:pt>
                <c:pt idx="21">
                  <c:v>0.30677802190951908</c:v>
                </c:pt>
                <c:pt idx="22">
                  <c:v>0.5296020668181024</c:v>
                </c:pt>
                <c:pt idx="23">
                  <c:v>0.18718639202093859</c:v>
                </c:pt>
                <c:pt idx="24">
                  <c:v>0.47297501727359881</c:v>
                </c:pt>
                <c:pt idx="25">
                  <c:v>0.41870236278068462</c:v>
                </c:pt>
                <c:pt idx="26">
                  <c:v>0.12528673573840987</c:v>
                </c:pt>
                <c:pt idx="27">
                  <c:v>0.5692726042470907</c:v>
                </c:pt>
                <c:pt idx="28">
                  <c:v>0.40244989125712299</c:v>
                </c:pt>
                <c:pt idx="29">
                  <c:v>0.43179389516714078</c:v>
                </c:pt>
                <c:pt idx="30">
                  <c:v>0.24422991518710638</c:v>
                </c:pt>
                <c:pt idx="31">
                  <c:v>-5.3671947071517657E-2</c:v>
                </c:pt>
                <c:pt idx="32">
                  <c:v>-0.40377478129799871</c:v>
                </c:pt>
                <c:pt idx="33">
                  <c:v>-0.3316236062247524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A42-47EC-86FB-A8FF58636AC3}"/>
            </c:ext>
          </c:extLst>
        </c:ser>
        <c:ser>
          <c:idx val="2"/>
          <c:order val="2"/>
          <c:tx>
            <c:strRef>
              <c:f>Ethnic!$D$42:$D$43</c:f>
              <c:strCache>
                <c:ptCount val="2"/>
                <c:pt idx="0">
                  <c:v>Native</c:v>
                </c:pt>
                <c:pt idx="1">
                  <c:v>American</c:v>
                </c:pt>
              </c:strCache>
            </c:strRef>
          </c:tx>
          <c:spPr>
            <a:ln w="19010">
              <a:noFill/>
            </a:ln>
          </c:spPr>
          <c:marker>
            <c:symbol val="triangle"/>
            <c:size val="4"/>
            <c:spPr>
              <a:solidFill>
                <a:srgbClr val="00FF00"/>
              </a:solidFill>
              <a:ln>
                <a:solidFill>
                  <a:srgbClr val="00FF00"/>
                </a:solidFill>
                <a:prstDash val="solid"/>
              </a:ln>
            </c:spPr>
          </c:marker>
          <c:cat>
            <c:strRef>
              <c:f>Ethnic!$A$44:$A$77</c:f>
              <c:strCache>
                <c:ptCount val="34"/>
                <c:pt idx="0">
                  <c:v>Low neighborhood attach.</c:v>
                </c:pt>
                <c:pt idx="1">
                  <c:v>Neighborhood disorg.</c:v>
                </c:pt>
                <c:pt idx="2">
                  <c:v>Pers. transition &amp; mobility</c:v>
                </c:pt>
                <c:pt idx="3">
                  <c:v>Transition &amp; mobility</c:v>
                </c:pt>
                <c:pt idx="4">
                  <c:v>Laws and norms</c:v>
                </c:pt>
                <c:pt idx="5">
                  <c:v>Perceived availability</c:v>
                </c:pt>
                <c:pt idx="6">
                  <c:v>Comm Opps for Prosocial Inv</c:v>
                </c:pt>
                <c:pt idx="7">
                  <c:v>Comm Rewards for Prosocial Inv</c:v>
                </c:pt>
                <c:pt idx="8">
                  <c:v>School academic failure</c:v>
                </c:pt>
                <c:pt idx="9">
                  <c:v>Low school commitment</c:v>
                </c:pt>
                <c:pt idx="10">
                  <c:v>School Opps for Prosocial Inv</c:v>
                </c:pt>
                <c:pt idx="11">
                  <c:v>School Rewards for Prosocial Inv</c:v>
                </c:pt>
                <c:pt idx="12">
                  <c:v>Poor family supervision</c:v>
                </c:pt>
                <c:pt idx="13">
                  <c:v>Poor family discipline</c:v>
                </c:pt>
                <c:pt idx="14">
                  <c:v>Family conflict</c:v>
                </c:pt>
                <c:pt idx="15">
                  <c:v>Family history of ASB</c:v>
                </c:pt>
                <c:pt idx="16">
                  <c:v>Par. attitudes favor drugs</c:v>
                </c:pt>
                <c:pt idx="17">
                  <c:v>Par. attitudes favor ASB</c:v>
                </c:pt>
                <c:pt idx="18">
                  <c:v>Fam Attachment</c:v>
                </c:pt>
                <c:pt idx="19">
                  <c:v>Fam Opps for Prosocial Inv</c:v>
                </c:pt>
                <c:pt idx="20">
                  <c:v>Fam Rewards for Prosocial Inv</c:v>
                </c:pt>
                <c:pt idx="21">
                  <c:v>Rebelliousness</c:v>
                </c:pt>
                <c:pt idx="22">
                  <c:v>Early initiation</c:v>
                </c:pt>
                <c:pt idx="23">
                  <c:v>Impulsiveness</c:v>
                </c:pt>
                <c:pt idx="24">
                  <c:v>Attitudes favor ASB</c:v>
                </c:pt>
                <c:pt idx="25">
                  <c:v>Attitudes favor drugs</c:v>
                </c:pt>
                <c:pt idx="26">
                  <c:v>Low perceived risks of drug use</c:v>
                </c:pt>
                <c:pt idx="27">
                  <c:v>Interaction with anti-social peers</c:v>
                </c:pt>
                <c:pt idx="28">
                  <c:v>Friends' use of drugs</c:v>
                </c:pt>
                <c:pt idx="29">
                  <c:v>Sensation seeking</c:v>
                </c:pt>
                <c:pt idx="30">
                  <c:v>Rewards for ASB</c:v>
                </c:pt>
                <c:pt idx="31">
                  <c:v>Religiosity</c:v>
                </c:pt>
                <c:pt idx="32">
                  <c:v>Social Skills</c:v>
                </c:pt>
                <c:pt idx="33">
                  <c:v>Belief in the Moral Order</c:v>
                </c:pt>
              </c:strCache>
            </c:strRef>
          </c:cat>
          <c:val>
            <c:numRef>
              <c:f>Ethnic!$D$44:$D$77</c:f>
              <c:numCache>
                <c:formatCode>General</c:formatCode>
                <c:ptCount val="34"/>
                <c:pt idx="0">
                  <c:v>0.11555067182144826</c:v>
                </c:pt>
                <c:pt idx="1">
                  <c:v>0.16683903427036559</c:v>
                </c:pt>
                <c:pt idx="2">
                  <c:v>0.22611179203543147</c:v>
                </c:pt>
                <c:pt idx="3">
                  <c:v>2.3993079821436621E-2</c:v>
                </c:pt>
                <c:pt idx="4">
                  <c:v>0.35282431897729699</c:v>
                </c:pt>
                <c:pt idx="5">
                  <c:v>0.3759764644539349</c:v>
                </c:pt>
                <c:pt idx="6">
                  <c:v>-0.13394750872272201</c:v>
                </c:pt>
                <c:pt idx="7">
                  <c:v>-0.12531111978868106</c:v>
                </c:pt>
                <c:pt idx="8">
                  <c:v>0.20596181391139348</c:v>
                </c:pt>
                <c:pt idx="9">
                  <c:v>0.32161017382821655</c:v>
                </c:pt>
                <c:pt idx="10">
                  <c:v>-0.16493087649847704</c:v>
                </c:pt>
                <c:pt idx="11">
                  <c:v>-0.17513718844953202</c:v>
                </c:pt>
                <c:pt idx="12">
                  <c:v>0.21402821399705343</c:v>
                </c:pt>
                <c:pt idx="13">
                  <c:v>0.25952066004264362</c:v>
                </c:pt>
                <c:pt idx="14">
                  <c:v>1.9728179041520022E-2</c:v>
                </c:pt>
                <c:pt idx="15">
                  <c:v>0.38735578762126188</c:v>
                </c:pt>
                <c:pt idx="16">
                  <c:v>0.38675307641630052</c:v>
                </c:pt>
                <c:pt idx="17">
                  <c:v>0.33271338195079253</c:v>
                </c:pt>
                <c:pt idx="18">
                  <c:v>-7.0481777350216976E-2</c:v>
                </c:pt>
                <c:pt idx="19">
                  <c:v>-6.0653256528418145E-2</c:v>
                </c:pt>
                <c:pt idx="20">
                  <c:v>-7.0897190607139934E-2</c:v>
                </c:pt>
                <c:pt idx="21">
                  <c:v>0.33513058712456839</c:v>
                </c:pt>
                <c:pt idx="22">
                  <c:v>0.56310325011124984</c:v>
                </c:pt>
                <c:pt idx="23">
                  <c:v>0.3091796846114403</c:v>
                </c:pt>
                <c:pt idx="24">
                  <c:v>0.4851859576744767</c:v>
                </c:pt>
                <c:pt idx="25">
                  <c:v>0.49854772309001538</c:v>
                </c:pt>
                <c:pt idx="26">
                  <c:v>0.20185790564898046</c:v>
                </c:pt>
                <c:pt idx="27">
                  <c:v>0.59739795976776611</c:v>
                </c:pt>
                <c:pt idx="28">
                  <c:v>0.43580485018040444</c:v>
                </c:pt>
                <c:pt idx="29">
                  <c:v>0.41526336916873419</c:v>
                </c:pt>
                <c:pt idx="30">
                  <c:v>0.28154080275164012</c:v>
                </c:pt>
                <c:pt idx="31">
                  <c:v>-8.6074503572533559E-2</c:v>
                </c:pt>
                <c:pt idx="32">
                  <c:v>-0.43555927133528022</c:v>
                </c:pt>
                <c:pt idx="33">
                  <c:v>-0.35852354981549289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A42-47EC-86FB-A8FF58636AC3}"/>
            </c:ext>
          </c:extLst>
        </c:ser>
        <c:ser>
          <c:idx val="3"/>
          <c:order val="3"/>
          <c:tx>
            <c:strRef>
              <c:f>Ethnic!$E$42:$E$43</c:f>
              <c:strCache>
                <c:ptCount val="2"/>
                <c:pt idx="0">
                  <c:v>Hispanic</c:v>
                </c:pt>
                <c:pt idx="1">
                  <c:v>American</c:v>
                </c:pt>
              </c:strCache>
            </c:strRef>
          </c:tx>
          <c:spPr>
            <a:ln w="19010">
              <a:noFill/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Ethnic!$A$44:$A$77</c:f>
              <c:strCache>
                <c:ptCount val="34"/>
                <c:pt idx="0">
                  <c:v>Low neighborhood attach.</c:v>
                </c:pt>
                <c:pt idx="1">
                  <c:v>Neighborhood disorg.</c:v>
                </c:pt>
                <c:pt idx="2">
                  <c:v>Pers. transition &amp; mobility</c:v>
                </c:pt>
                <c:pt idx="3">
                  <c:v>Transition &amp; mobility</c:v>
                </c:pt>
                <c:pt idx="4">
                  <c:v>Laws and norms</c:v>
                </c:pt>
                <c:pt idx="5">
                  <c:v>Perceived availability</c:v>
                </c:pt>
                <c:pt idx="6">
                  <c:v>Comm Opps for Prosocial Inv</c:v>
                </c:pt>
                <c:pt idx="7">
                  <c:v>Comm Rewards for Prosocial Inv</c:v>
                </c:pt>
                <c:pt idx="8">
                  <c:v>School academic failure</c:v>
                </c:pt>
                <c:pt idx="9">
                  <c:v>Low school commitment</c:v>
                </c:pt>
                <c:pt idx="10">
                  <c:v>School Opps for Prosocial Inv</c:v>
                </c:pt>
                <c:pt idx="11">
                  <c:v>School Rewards for Prosocial Inv</c:v>
                </c:pt>
                <c:pt idx="12">
                  <c:v>Poor family supervision</c:v>
                </c:pt>
                <c:pt idx="13">
                  <c:v>Poor family discipline</c:v>
                </c:pt>
                <c:pt idx="14">
                  <c:v>Family conflict</c:v>
                </c:pt>
                <c:pt idx="15">
                  <c:v>Family history of ASB</c:v>
                </c:pt>
                <c:pt idx="16">
                  <c:v>Par. attitudes favor drugs</c:v>
                </c:pt>
                <c:pt idx="17">
                  <c:v>Par. attitudes favor ASB</c:v>
                </c:pt>
                <c:pt idx="18">
                  <c:v>Fam Attachment</c:v>
                </c:pt>
                <c:pt idx="19">
                  <c:v>Fam Opps for Prosocial Inv</c:v>
                </c:pt>
                <c:pt idx="20">
                  <c:v>Fam Rewards for Prosocial Inv</c:v>
                </c:pt>
                <c:pt idx="21">
                  <c:v>Rebelliousness</c:v>
                </c:pt>
                <c:pt idx="22">
                  <c:v>Early initiation</c:v>
                </c:pt>
                <c:pt idx="23">
                  <c:v>Impulsiveness</c:v>
                </c:pt>
                <c:pt idx="24">
                  <c:v>Attitudes favor ASB</c:v>
                </c:pt>
                <c:pt idx="25">
                  <c:v>Attitudes favor drugs</c:v>
                </c:pt>
                <c:pt idx="26">
                  <c:v>Low perceived risks of drug use</c:v>
                </c:pt>
                <c:pt idx="27">
                  <c:v>Interaction with anti-social peers</c:v>
                </c:pt>
                <c:pt idx="28">
                  <c:v>Friends' use of drugs</c:v>
                </c:pt>
                <c:pt idx="29">
                  <c:v>Sensation seeking</c:v>
                </c:pt>
                <c:pt idx="30">
                  <c:v>Rewards for ASB</c:v>
                </c:pt>
                <c:pt idx="31">
                  <c:v>Religiosity</c:v>
                </c:pt>
                <c:pt idx="32">
                  <c:v>Social Skills</c:v>
                </c:pt>
                <c:pt idx="33">
                  <c:v>Belief in the Moral Order</c:v>
                </c:pt>
              </c:strCache>
            </c:strRef>
          </c:cat>
          <c:val>
            <c:numRef>
              <c:f>Ethnic!$E$44:$E$77</c:f>
              <c:numCache>
                <c:formatCode>General</c:formatCode>
                <c:ptCount val="34"/>
                <c:pt idx="0">
                  <c:v>7.9774052944101198E-2</c:v>
                </c:pt>
                <c:pt idx="1">
                  <c:v>0.21880283377522361</c:v>
                </c:pt>
                <c:pt idx="2">
                  <c:v>0.13916634886801099</c:v>
                </c:pt>
                <c:pt idx="3">
                  <c:v>0.10752843572037411</c:v>
                </c:pt>
                <c:pt idx="4">
                  <c:v>0.31716556300283144</c:v>
                </c:pt>
                <c:pt idx="5">
                  <c:v>0.35451379502154684</c:v>
                </c:pt>
                <c:pt idx="6">
                  <c:v>-0.11559610502044083</c:v>
                </c:pt>
                <c:pt idx="7">
                  <c:v>-0.10772574033840043</c:v>
                </c:pt>
                <c:pt idx="8">
                  <c:v>0.24828004884798749</c:v>
                </c:pt>
                <c:pt idx="9">
                  <c:v>0.35665914123998371</c:v>
                </c:pt>
                <c:pt idx="10">
                  <c:v>-0.13259169826738096</c:v>
                </c:pt>
                <c:pt idx="11">
                  <c:v>-0.1756509651505859</c:v>
                </c:pt>
                <c:pt idx="12">
                  <c:v>0.19685966584664236</c:v>
                </c:pt>
                <c:pt idx="13">
                  <c:v>0.26692229244061283</c:v>
                </c:pt>
                <c:pt idx="14">
                  <c:v>0.10561571033836309</c:v>
                </c:pt>
                <c:pt idx="15">
                  <c:v>0.39662643933656672</c:v>
                </c:pt>
                <c:pt idx="16">
                  <c:v>0.29006347283799566</c:v>
                </c:pt>
                <c:pt idx="17">
                  <c:v>0.30402512759843014</c:v>
                </c:pt>
                <c:pt idx="18">
                  <c:v>-0.10097990741885435</c:v>
                </c:pt>
                <c:pt idx="19">
                  <c:v>-0.10962022340136178</c:v>
                </c:pt>
                <c:pt idx="20">
                  <c:v>-0.12346529274093693</c:v>
                </c:pt>
                <c:pt idx="21">
                  <c:v>0.34726728845384436</c:v>
                </c:pt>
                <c:pt idx="22">
                  <c:v>0.58017546044503343</c:v>
                </c:pt>
                <c:pt idx="23">
                  <c:v>0.22664236859551343</c:v>
                </c:pt>
                <c:pt idx="24">
                  <c:v>0.45768752525736978</c:v>
                </c:pt>
                <c:pt idx="25">
                  <c:v>0.41575191865562078</c:v>
                </c:pt>
                <c:pt idx="26">
                  <c:v>0.24938358543658362</c:v>
                </c:pt>
                <c:pt idx="27">
                  <c:v>0.55392198391235759</c:v>
                </c:pt>
                <c:pt idx="28">
                  <c:v>0.40618809856070992</c:v>
                </c:pt>
                <c:pt idx="29">
                  <c:v>0.41587555204368548</c:v>
                </c:pt>
                <c:pt idx="30">
                  <c:v>0.24145162328162145</c:v>
                </c:pt>
                <c:pt idx="31">
                  <c:v>-7.5763754013252013E-2</c:v>
                </c:pt>
                <c:pt idx="32">
                  <c:v>-0.43226880174493726</c:v>
                </c:pt>
                <c:pt idx="33">
                  <c:v>-0.35835271529144164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A42-47EC-86FB-A8FF58636AC3}"/>
            </c:ext>
          </c:extLst>
        </c:ser>
        <c:ser>
          <c:idx val="4"/>
          <c:order val="4"/>
          <c:tx>
            <c:strRef>
              <c:f>Ethnic!$F$42:$F$43</c:f>
              <c:strCache>
                <c:ptCount val="2"/>
                <c:pt idx="0">
                  <c:v>Asian</c:v>
                </c:pt>
                <c:pt idx="1">
                  <c:v>American</c:v>
                </c:pt>
              </c:strCache>
            </c:strRef>
          </c:tx>
          <c:spPr>
            <a:ln w="19010">
              <a:noFill/>
            </a:ln>
          </c:spPr>
          <c:marker>
            <c:symbol val="star"/>
            <c:size val="4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Ethnic!$A$44:$A$77</c:f>
              <c:strCache>
                <c:ptCount val="34"/>
                <c:pt idx="0">
                  <c:v>Low neighborhood attach.</c:v>
                </c:pt>
                <c:pt idx="1">
                  <c:v>Neighborhood disorg.</c:v>
                </c:pt>
                <c:pt idx="2">
                  <c:v>Pers. transition &amp; mobility</c:v>
                </c:pt>
                <c:pt idx="3">
                  <c:v>Transition &amp; mobility</c:v>
                </c:pt>
                <c:pt idx="4">
                  <c:v>Laws and norms</c:v>
                </c:pt>
                <c:pt idx="5">
                  <c:v>Perceived availability</c:v>
                </c:pt>
                <c:pt idx="6">
                  <c:v>Comm Opps for Prosocial Inv</c:v>
                </c:pt>
                <c:pt idx="7">
                  <c:v>Comm Rewards for Prosocial Inv</c:v>
                </c:pt>
                <c:pt idx="8">
                  <c:v>School academic failure</c:v>
                </c:pt>
                <c:pt idx="9">
                  <c:v>Low school commitment</c:v>
                </c:pt>
                <c:pt idx="10">
                  <c:v>School Opps for Prosocial Inv</c:v>
                </c:pt>
                <c:pt idx="11">
                  <c:v>School Rewards for Prosocial Inv</c:v>
                </c:pt>
                <c:pt idx="12">
                  <c:v>Poor family supervision</c:v>
                </c:pt>
                <c:pt idx="13">
                  <c:v>Poor family discipline</c:v>
                </c:pt>
                <c:pt idx="14">
                  <c:v>Family conflict</c:v>
                </c:pt>
                <c:pt idx="15">
                  <c:v>Family history of ASB</c:v>
                </c:pt>
                <c:pt idx="16">
                  <c:v>Par. attitudes favor drugs</c:v>
                </c:pt>
                <c:pt idx="17">
                  <c:v>Par. attitudes favor ASB</c:v>
                </c:pt>
                <c:pt idx="18">
                  <c:v>Fam Attachment</c:v>
                </c:pt>
                <c:pt idx="19">
                  <c:v>Fam Opps for Prosocial Inv</c:v>
                </c:pt>
                <c:pt idx="20">
                  <c:v>Fam Rewards for Prosocial Inv</c:v>
                </c:pt>
                <c:pt idx="21">
                  <c:v>Rebelliousness</c:v>
                </c:pt>
                <c:pt idx="22">
                  <c:v>Early initiation</c:v>
                </c:pt>
                <c:pt idx="23">
                  <c:v>Impulsiveness</c:v>
                </c:pt>
                <c:pt idx="24">
                  <c:v>Attitudes favor ASB</c:v>
                </c:pt>
                <c:pt idx="25">
                  <c:v>Attitudes favor drugs</c:v>
                </c:pt>
                <c:pt idx="26">
                  <c:v>Low perceived risks of drug use</c:v>
                </c:pt>
                <c:pt idx="27">
                  <c:v>Interaction with anti-social peers</c:v>
                </c:pt>
                <c:pt idx="28">
                  <c:v>Friends' use of drugs</c:v>
                </c:pt>
                <c:pt idx="29">
                  <c:v>Sensation seeking</c:v>
                </c:pt>
                <c:pt idx="30">
                  <c:v>Rewards for ASB</c:v>
                </c:pt>
                <c:pt idx="31">
                  <c:v>Religiosity</c:v>
                </c:pt>
                <c:pt idx="32">
                  <c:v>Social Skills</c:v>
                </c:pt>
                <c:pt idx="33">
                  <c:v>Belief in the Moral Order</c:v>
                </c:pt>
              </c:strCache>
            </c:strRef>
          </c:cat>
          <c:val>
            <c:numRef>
              <c:f>Ethnic!$F$44:$F$77</c:f>
              <c:numCache>
                <c:formatCode>General</c:formatCode>
                <c:ptCount val="34"/>
                <c:pt idx="0">
                  <c:v>0.1478671057899596</c:v>
                </c:pt>
                <c:pt idx="1">
                  <c:v>0.20275276973213391</c:v>
                </c:pt>
                <c:pt idx="2">
                  <c:v>0.13880029668717148</c:v>
                </c:pt>
                <c:pt idx="3">
                  <c:v>5.5482109254413381E-2</c:v>
                </c:pt>
                <c:pt idx="4">
                  <c:v>0.30846455047318921</c:v>
                </c:pt>
                <c:pt idx="5">
                  <c:v>0.34033781284161368</c:v>
                </c:pt>
                <c:pt idx="6">
                  <c:v>-9.0662663798380588E-2</c:v>
                </c:pt>
                <c:pt idx="7">
                  <c:v>-0.13584817042855263</c:v>
                </c:pt>
                <c:pt idx="8">
                  <c:v>0.24435621402664923</c:v>
                </c:pt>
                <c:pt idx="9">
                  <c:v>0.32943917113700749</c:v>
                </c:pt>
                <c:pt idx="10">
                  <c:v>-0.19623016030923612</c:v>
                </c:pt>
                <c:pt idx="11">
                  <c:v>-0.196611681486419</c:v>
                </c:pt>
                <c:pt idx="12">
                  <c:v>0.20843643250284491</c:v>
                </c:pt>
                <c:pt idx="13">
                  <c:v>0.18353077098041964</c:v>
                </c:pt>
                <c:pt idx="14">
                  <c:v>0.13474830391603995</c:v>
                </c:pt>
                <c:pt idx="15">
                  <c:v>0.45417441437300449</c:v>
                </c:pt>
                <c:pt idx="16">
                  <c:v>0.38303747235977159</c:v>
                </c:pt>
                <c:pt idx="17">
                  <c:v>0.38513054042923667</c:v>
                </c:pt>
                <c:pt idx="18">
                  <c:v>-0.1673178638495332</c:v>
                </c:pt>
                <c:pt idx="19">
                  <c:v>-0.19063756798282722</c:v>
                </c:pt>
                <c:pt idx="20">
                  <c:v>-0.15935252799376504</c:v>
                </c:pt>
                <c:pt idx="21">
                  <c:v>0.28594731085900515</c:v>
                </c:pt>
                <c:pt idx="22">
                  <c:v>0.52596837858251755</c:v>
                </c:pt>
                <c:pt idx="23">
                  <c:v>0.14698302433050989</c:v>
                </c:pt>
                <c:pt idx="24">
                  <c:v>0.37706777289809795</c:v>
                </c:pt>
                <c:pt idx="25">
                  <c:v>0.41260283533552367</c:v>
                </c:pt>
                <c:pt idx="26">
                  <c:v>0.21353115247486062</c:v>
                </c:pt>
                <c:pt idx="27">
                  <c:v>0.55844917035354225</c:v>
                </c:pt>
                <c:pt idx="28">
                  <c:v>0.42268296521952042</c:v>
                </c:pt>
                <c:pt idx="29">
                  <c:v>0.35436508036015368</c:v>
                </c:pt>
                <c:pt idx="30">
                  <c:v>0.20084112650284031</c:v>
                </c:pt>
                <c:pt idx="31">
                  <c:v>-6.8140438048361771E-2</c:v>
                </c:pt>
                <c:pt idx="32">
                  <c:v>-0.38027325365861137</c:v>
                </c:pt>
                <c:pt idx="33">
                  <c:v>-0.3117750089687138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A42-47EC-86FB-A8FF58636A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2411096"/>
        <c:axId val="1"/>
      </c:lineChart>
      <c:catAx>
        <c:axId val="2024110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397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Risk and Protective Factors</a:t>
                </a:r>
              </a:p>
            </c:rich>
          </c:tx>
          <c:layout>
            <c:manualLayout>
              <c:xMode val="edge"/>
              <c:yMode val="edge"/>
              <c:x val="0.33966244725738398"/>
              <c:y val="0.93409742120343842"/>
            </c:manualLayout>
          </c:layout>
          <c:overlay val="0"/>
          <c:spPr>
            <a:noFill/>
            <a:ln w="25346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12673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4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in val="-0.8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397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en-US"/>
                  <a:t>Pearson's Correlation</a:t>
                </a:r>
              </a:p>
            </c:rich>
          </c:tx>
          <c:layout>
            <c:manualLayout>
              <c:xMode val="edge"/>
              <c:yMode val="edge"/>
              <c:x val="1.1603375527426161E-2"/>
              <c:y val="0.30229226361031519"/>
            </c:manualLayout>
          </c:layout>
          <c:overlay val="0"/>
          <c:spPr>
            <a:noFill/>
            <a:ln w="25346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202411096"/>
        <c:crosses val="autoZero"/>
        <c:crossBetween val="between"/>
      </c:valAx>
      <c:spPr>
        <a:solidFill>
          <a:srgbClr val="FFFFFF"/>
        </a:solidFill>
        <a:ln w="12673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5021097046413507"/>
          <c:y val="0.34957020057306593"/>
          <c:w val="0.14556962025316456"/>
          <c:h val="0.17335243553008595"/>
        </c:manualLayout>
      </c:layout>
      <c:overlay val="0"/>
      <c:spPr>
        <a:solidFill>
          <a:srgbClr val="FFFFFF"/>
        </a:solidFill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4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0.267</cdr:x>
      <cdr:y>0.169</cdr:y>
    </cdr:from>
    <cdr:to>
      <cdr:x>0.267</cdr:x>
      <cdr:y>0.72525</cdr:y>
    </cdr:to>
    <cdr:sp macro="" textlink="">
      <cdr:nvSpPr>
        <cdr:cNvPr id="1025" name="Line 1">
          <a:extLst xmlns:a="http://schemas.openxmlformats.org/drawingml/2006/main">
            <a:ext uri="{FF2B5EF4-FFF2-40B4-BE49-F238E27FC236}">
              <a16:creationId xmlns:a16="http://schemas.microsoft.com/office/drawing/2014/main" id="{33740AD2-2795-45A7-8C99-706C8F357228}"/>
            </a:ext>
          </a:extLst>
        </cdr:cNvPr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H="1">
          <a:off x="2410930" y="1123588"/>
          <a:ext cx="0" cy="3698200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0.354</cdr:x>
      <cdr:y>0.169</cdr:y>
    </cdr:from>
    <cdr:to>
      <cdr:x>0.35475</cdr:x>
      <cdr:y>0.72525</cdr:y>
    </cdr:to>
    <cdr:sp macro="" textlink="">
      <cdr:nvSpPr>
        <cdr:cNvPr id="1026" name="Line 2">
          <a:extLst xmlns:a="http://schemas.openxmlformats.org/drawingml/2006/main">
            <a:ext uri="{FF2B5EF4-FFF2-40B4-BE49-F238E27FC236}">
              <a16:creationId xmlns:a16="http://schemas.microsoft.com/office/drawing/2014/main" id="{39B40D69-7685-4F6C-B06A-C2768DFC407D}"/>
            </a:ext>
          </a:extLst>
        </cdr:cNvPr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3196514" y="1123588"/>
          <a:ext cx="6772" cy="3698200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0.55225</cdr:x>
      <cdr:y>0.169</cdr:y>
    </cdr:from>
    <cdr:to>
      <cdr:x>0.55225</cdr:x>
      <cdr:y>0.725</cdr:y>
    </cdr:to>
    <cdr:sp macro="" textlink="">
      <cdr:nvSpPr>
        <cdr:cNvPr id="1027" name="Line 3">
          <a:extLst xmlns:a="http://schemas.openxmlformats.org/drawingml/2006/main">
            <a:ext uri="{FF2B5EF4-FFF2-40B4-BE49-F238E27FC236}">
              <a16:creationId xmlns:a16="http://schemas.microsoft.com/office/drawing/2014/main" id="{5CCFFA4C-E2F2-4BEA-97B6-F6E8E5ACF26A}"/>
            </a:ext>
          </a:extLst>
        </cdr:cNvPr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>
          <a:off x="4986652" y="1123588"/>
          <a:ext cx="0" cy="3696538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round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noFill/>
            </a14:hiddenFill>
          </a:ext>
        </a:extLst>
      </cdr:spPr>
    </cdr:sp>
  </cdr:relSizeAnchor>
  <cdr:relSizeAnchor xmlns:cdr="http://schemas.openxmlformats.org/drawingml/2006/chartDrawing">
    <cdr:from>
      <cdr:x>0.11375</cdr:x>
      <cdr:y>0.67</cdr:y>
    </cdr:from>
    <cdr:to>
      <cdr:x>0.2415</cdr:x>
      <cdr:y>0.7015</cdr:y>
    </cdr:to>
    <cdr:sp macro="" textlink="">
      <cdr:nvSpPr>
        <cdr:cNvPr id="1028" name="Text Box 4">
          <a:extLst xmlns:a="http://schemas.openxmlformats.org/drawingml/2006/main">
            <a:ext uri="{FF2B5EF4-FFF2-40B4-BE49-F238E27FC236}">
              <a16:creationId xmlns:a16="http://schemas.microsoft.com/office/drawing/2014/main" id="{0CAB8750-7B75-48D9-951F-2AF80C7B01E3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27128" y="4454462"/>
          <a:ext cx="1153545" cy="20942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US" sz="1100" b="0" i="1" u="none" strike="noStrike" baseline="0">
              <a:solidFill>
                <a:srgbClr val="000000"/>
              </a:solidFill>
              <a:latin typeface="Times New Roman"/>
              <a:cs typeface="Times New Roman"/>
            </a:rPr>
            <a:t>Community</a:t>
          </a:r>
        </a:p>
      </cdr:txBody>
    </cdr:sp>
  </cdr:relSizeAnchor>
  <cdr:relSizeAnchor xmlns:cdr="http://schemas.openxmlformats.org/drawingml/2006/chartDrawing">
    <cdr:from>
      <cdr:x>0.2415</cdr:x>
      <cdr:y>0.67</cdr:y>
    </cdr:from>
    <cdr:to>
      <cdr:x>0.37025</cdr:x>
      <cdr:y>0.7</cdr:y>
    </cdr:to>
    <cdr:sp macro="" textlink="">
      <cdr:nvSpPr>
        <cdr:cNvPr id="1029" name="Text Box 5">
          <a:extLst xmlns:a="http://schemas.openxmlformats.org/drawingml/2006/main">
            <a:ext uri="{FF2B5EF4-FFF2-40B4-BE49-F238E27FC236}">
              <a16:creationId xmlns:a16="http://schemas.microsoft.com/office/drawing/2014/main" id="{2ED519A5-5BEE-46A1-879A-451C77F8E9B2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80673" y="4454462"/>
          <a:ext cx="1162573" cy="1994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US" sz="1100" b="0" i="1" u="none" strike="noStrike" baseline="0">
              <a:solidFill>
                <a:srgbClr val="000000"/>
              </a:solidFill>
              <a:latin typeface="Times New Roman"/>
              <a:cs typeface="Times New Roman"/>
            </a:rPr>
            <a:t>School</a:t>
          </a:r>
        </a:p>
      </cdr:txBody>
    </cdr:sp>
  </cdr:relSizeAnchor>
  <cdr:relSizeAnchor xmlns:cdr="http://schemas.openxmlformats.org/drawingml/2006/chartDrawing">
    <cdr:from>
      <cdr:x>0.3715</cdr:x>
      <cdr:y>0.67</cdr:y>
    </cdr:from>
    <cdr:to>
      <cdr:x>0.50025</cdr:x>
      <cdr:y>0.7</cdr:y>
    </cdr:to>
    <cdr:sp macro="" textlink="">
      <cdr:nvSpPr>
        <cdr:cNvPr id="1030" name="Text Box 6">
          <a:extLst xmlns:a="http://schemas.openxmlformats.org/drawingml/2006/main">
            <a:ext uri="{FF2B5EF4-FFF2-40B4-BE49-F238E27FC236}">
              <a16:creationId xmlns:a16="http://schemas.microsoft.com/office/drawing/2014/main" id="{E0B08B37-4333-4BC9-BDE6-6565466E7ECD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54534" y="4454462"/>
          <a:ext cx="1162573" cy="1994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US" sz="1100" b="0" i="1" u="none" strike="noStrike" baseline="0">
              <a:solidFill>
                <a:srgbClr val="000000"/>
              </a:solidFill>
              <a:latin typeface="Times New Roman"/>
              <a:cs typeface="Times New Roman"/>
            </a:rPr>
            <a:t>Family</a:t>
          </a:r>
        </a:p>
      </cdr:txBody>
    </cdr:sp>
  </cdr:relSizeAnchor>
  <cdr:relSizeAnchor xmlns:cdr="http://schemas.openxmlformats.org/drawingml/2006/chartDrawing">
    <cdr:from>
      <cdr:x>0.6185</cdr:x>
      <cdr:y>0.67</cdr:y>
    </cdr:from>
    <cdr:to>
      <cdr:x>0.74725</cdr:x>
      <cdr:y>0.7</cdr:y>
    </cdr:to>
    <cdr:sp macro="" textlink="">
      <cdr:nvSpPr>
        <cdr:cNvPr id="1031" name="Text Box 7">
          <a:extLst xmlns:a="http://schemas.openxmlformats.org/drawingml/2006/main">
            <a:ext uri="{FF2B5EF4-FFF2-40B4-BE49-F238E27FC236}">
              <a16:creationId xmlns:a16="http://schemas.microsoft.com/office/drawing/2014/main" id="{646CC38E-6DD3-4B8F-873D-257D6CC0FD26}"/>
            </a:ext>
          </a:extLst>
        </cdr:cNvPr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584869" y="4454462"/>
          <a:ext cx="1162574" cy="1994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7432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US" sz="1100" b="0" i="1" u="none" strike="noStrike" baseline="0">
              <a:solidFill>
                <a:srgbClr val="000000"/>
              </a:solidFill>
              <a:latin typeface="Times New Roman"/>
              <a:cs typeface="Times New Roman"/>
            </a:rPr>
            <a:t>Peer/Individual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Haggerty</dc:creator>
  <cp:keywords/>
  <dc:description/>
  <cp:lastModifiedBy>Kevin Haggerty</cp:lastModifiedBy>
  <cp:revision>1</cp:revision>
  <dcterms:created xsi:type="dcterms:W3CDTF">2021-05-11T14:47:00Z</dcterms:created>
  <dcterms:modified xsi:type="dcterms:W3CDTF">2021-05-11T14:48:00Z</dcterms:modified>
</cp:coreProperties>
</file>