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45" w:rsidRPr="002B7D90" w:rsidRDefault="00637045" w:rsidP="00B23C42">
      <w:pPr>
        <w:jc w:val="center"/>
        <w:rPr>
          <w:rFonts w:ascii="Calibri" w:hAnsi="Calibri"/>
          <w:b/>
          <w:sz w:val="28"/>
          <w:szCs w:val="28"/>
        </w:rPr>
      </w:pPr>
      <w:r w:rsidRPr="002B7D90">
        <w:rPr>
          <w:rFonts w:ascii="Calibri" w:hAnsi="Calibri"/>
          <w:b/>
          <w:sz w:val="28"/>
          <w:szCs w:val="28"/>
        </w:rPr>
        <w:t>Summary of the</w:t>
      </w:r>
      <w:r w:rsidRPr="002B7D90">
        <w:rPr>
          <w:rFonts w:ascii="Calibri" w:hAnsi="Calibri"/>
          <w:sz w:val="28"/>
          <w:szCs w:val="28"/>
        </w:rPr>
        <w:t xml:space="preserve"> </w:t>
      </w:r>
      <w:r w:rsidRPr="002B7D90">
        <w:rPr>
          <w:rFonts w:ascii="Calibri" w:hAnsi="Calibri"/>
          <w:b/>
          <w:sz w:val="28"/>
          <w:szCs w:val="28"/>
        </w:rPr>
        <w:t xml:space="preserve">Drug Enforcement Administration’s </w:t>
      </w:r>
    </w:p>
    <w:p w:rsidR="00637045" w:rsidRPr="002B7D90" w:rsidRDefault="00637045" w:rsidP="00B23C42">
      <w:pPr>
        <w:jc w:val="center"/>
        <w:rPr>
          <w:rFonts w:ascii="Calibri" w:hAnsi="Calibri"/>
          <w:sz w:val="28"/>
          <w:szCs w:val="28"/>
        </w:rPr>
      </w:pPr>
      <w:r w:rsidRPr="002B7D90">
        <w:rPr>
          <w:rFonts w:ascii="Calibri" w:hAnsi="Calibri"/>
          <w:b/>
          <w:sz w:val="28"/>
          <w:szCs w:val="28"/>
        </w:rPr>
        <w:t>Final Rule for the Disposal of Controlled Substances</w:t>
      </w:r>
    </w:p>
    <w:p w:rsidR="00637045" w:rsidRPr="002B7D90" w:rsidRDefault="00637045" w:rsidP="005D4909">
      <w:pPr>
        <w:jc w:val="center"/>
        <w:rPr>
          <w:rFonts w:ascii="Calibri" w:hAnsi="Calibri"/>
          <w:sz w:val="18"/>
          <w:szCs w:val="18"/>
        </w:rPr>
      </w:pPr>
      <w:r w:rsidRPr="002B7D90">
        <w:rPr>
          <w:rFonts w:ascii="Calibri" w:hAnsi="Calibri"/>
          <w:sz w:val="18"/>
          <w:szCs w:val="18"/>
        </w:rPr>
        <w:t xml:space="preserve">Final Rule: </w:t>
      </w:r>
      <w:hyperlink r:id="rId8" w:history="1">
        <w:r w:rsidRPr="002B7D90">
          <w:rPr>
            <w:rStyle w:val="Hyperlink"/>
            <w:rFonts w:ascii="Calibri" w:hAnsi="Calibri"/>
            <w:sz w:val="18"/>
            <w:szCs w:val="18"/>
          </w:rPr>
          <w:t>https://federalregister.gov/a/2014-20926</w:t>
        </w:r>
      </w:hyperlink>
    </w:p>
    <w:p w:rsidR="00637045" w:rsidRPr="002B7D90" w:rsidRDefault="00637045" w:rsidP="00064CD0">
      <w:pPr>
        <w:jc w:val="center"/>
        <w:rPr>
          <w:rFonts w:ascii="Calibri" w:hAnsi="Calibri"/>
          <w:sz w:val="18"/>
        </w:rPr>
      </w:pPr>
      <w:r w:rsidRPr="002B7D90">
        <w:rPr>
          <w:rFonts w:ascii="Calibri" w:hAnsi="Calibri"/>
          <w:sz w:val="18"/>
        </w:rPr>
        <w:t xml:space="preserve">DEA’s Drug Disposal website: </w:t>
      </w:r>
      <w:hyperlink r:id="rId9" w:history="1">
        <w:r w:rsidRPr="002B7D90">
          <w:rPr>
            <w:rStyle w:val="Hyperlink"/>
            <w:rFonts w:ascii="Calibri" w:hAnsi="Calibri"/>
            <w:sz w:val="18"/>
          </w:rPr>
          <w:t>http://www.deadiversion.usdoj.gov/drug_disposal/</w:t>
        </w:r>
      </w:hyperlink>
    </w:p>
    <w:p w:rsidR="00637045" w:rsidRPr="002B7D90" w:rsidRDefault="00637045" w:rsidP="00064CD0">
      <w:pPr>
        <w:jc w:val="center"/>
        <w:rPr>
          <w:rFonts w:ascii="Calibri" w:hAnsi="Calibri"/>
          <w:sz w:val="16"/>
        </w:rPr>
      </w:pPr>
    </w:p>
    <w:p w:rsidR="00637045" w:rsidRPr="002B7D90" w:rsidRDefault="00637045" w:rsidP="005D623E">
      <w:pPr>
        <w:rPr>
          <w:rFonts w:ascii="Calibri" w:hAnsi="Calibri"/>
          <w:b/>
          <w:sz w:val="22"/>
        </w:rPr>
      </w:pPr>
      <w:r w:rsidRPr="002B7D90">
        <w:rPr>
          <w:rFonts w:ascii="Calibri" w:hAnsi="Calibri"/>
          <w:b/>
          <w:sz w:val="22"/>
        </w:rPr>
        <w:t xml:space="preserve">The Drug Enforcement Administration (“DEA”) released a final regulation (“the rule”) </w:t>
      </w:r>
      <w:r>
        <w:rPr>
          <w:rFonts w:ascii="Calibri" w:hAnsi="Calibri"/>
          <w:b/>
          <w:sz w:val="22"/>
        </w:rPr>
        <w:t xml:space="preserve">on September 9, 2014 </w:t>
      </w:r>
      <w:r w:rsidRPr="002B7D90">
        <w:rPr>
          <w:rFonts w:ascii="Calibri" w:hAnsi="Calibri"/>
          <w:b/>
          <w:sz w:val="22"/>
        </w:rPr>
        <w:t xml:space="preserve">to implement the Secure and Responsible Drug Disposal Act of 2010 by expanding options to collect controlled substances from ultimate users for secure destruction. </w:t>
      </w:r>
    </w:p>
    <w:p w:rsidR="00637045" w:rsidRPr="002B7D90" w:rsidRDefault="00637045" w:rsidP="005D623E">
      <w:pPr>
        <w:rPr>
          <w:rFonts w:ascii="Calibri" w:hAnsi="Calibri"/>
          <w:b/>
          <w:sz w:val="22"/>
        </w:rPr>
      </w:pPr>
    </w:p>
    <w:p w:rsidR="00637045" w:rsidRPr="002B7D90" w:rsidRDefault="00637045" w:rsidP="005D623E">
      <w:pPr>
        <w:rPr>
          <w:rFonts w:ascii="Calibri" w:hAnsi="Calibri"/>
          <w:sz w:val="22"/>
        </w:rPr>
      </w:pPr>
      <w:r w:rsidRPr="002B7D90">
        <w:rPr>
          <w:rFonts w:ascii="Calibri" w:hAnsi="Calibri"/>
          <w:b/>
          <w:sz w:val="22"/>
        </w:rPr>
        <w:t xml:space="preserve">Effective date </w:t>
      </w:r>
      <w:r w:rsidRPr="002B7D90">
        <w:rPr>
          <w:rFonts w:ascii="Calibri" w:hAnsi="Calibri"/>
          <w:sz w:val="22"/>
        </w:rPr>
        <w:t>= October 9, 2014 (30 days after official publication in the Federal Register)</w:t>
      </w:r>
      <w:r>
        <w:rPr>
          <w:rFonts w:ascii="Calibri" w:hAnsi="Calibri"/>
          <w:sz w:val="22"/>
        </w:rPr>
        <w:t>.</w:t>
      </w:r>
    </w:p>
    <w:p w:rsidR="00637045" w:rsidRPr="002B7D90" w:rsidRDefault="00637045" w:rsidP="005D623E">
      <w:pPr>
        <w:rPr>
          <w:rFonts w:ascii="Calibri" w:hAnsi="Calibri"/>
          <w:sz w:val="22"/>
        </w:rPr>
      </w:pPr>
    </w:p>
    <w:p w:rsidR="00637045" w:rsidRPr="002B7D90" w:rsidRDefault="00637045" w:rsidP="005D623E">
      <w:pPr>
        <w:rPr>
          <w:rFonts w:ascii="Calibri" w:hAnsi="Calibri"/>
          <w:b/>
          <w:sz w:val="22"/>
        </w:rPr>
      </w:pPr>
      <w:r w:rsidRPr="002B7D90">
        <w:rPr>
          <w:rFonts w:ascii="Calibri" w:hAnsi="Calibri"/>
          <w:sz w:val="22"/>
        </w:rPr>
        <w:t>This summary highlights key provisions of the DEA’s regulation, with references to sections of the final rule and to statements in the explanatory text of the Federal Register document.  The final rule contains many more details than can be provided in this detailed summary.  Stakeholders seeking to comply with this regulation should review the entire rule carefully, and contact the DEA to resolve any questions.</w:t>
      </w:r>
    </w:p>
    <w:p w:rsidR="00637045" w:rsidRPr="002B7D90" w:rsidRDefault="00637045" w:rsidP="005D623E">
      <w:pPr>
        <w:rPr>
          <w:rFonts w:ascii="Calibri" w:hAnsi="Calibri"/>
          <w:sz w:val="22"/>
        </w:rPr>
      </w:pPr>
    </w:p>
    <w:p w:rsidR="00637045" w:rsidRPr="002B7D90" w:rsidRDefault="00637045" w:rsidP="003C7AA3">
      <w:pPr>
        <w:autoSpaceDE w:val="0"/>
        <w:autoSpaceDN w:val="0"/>
        <w:adjustRightInd w:val="0"/>
        <w:rPr>
          <w:rFonts w:ascii="Calibri" w:hAnsi="Calibri"/>
          <w:sz w:val="22"/>
        </w:rPr>
      </w:pPr>
      <w:r w:rsidRPr="002B7D90">
        <w:rPr>
          <w:rFonts w:ascii="Calibri" w:hAnsi="Calibri"/>
          <w:b/>
          <w:i/>
          <w:sz w:val="22"/>
        </w:rPr>
        <w:t>Key definitions in existing law:</w:t>
      </w:r>
      <w:r w:rsidRPr="002B7D90">
        <w:rPr>
          <w:rFonts w:ascii="Calibri" w:hAnsi="Calibri"/>
          <w:b/>
          <w:sz w:val="22"/>
        </w:rPr>
        <w:t xml:space="preserve">  </w:t>
      </w:r>
      <w:r w:rsidRPr="002B7D90">
        <w:rPr>
          <w:rFonts w:ascii="Calibri" w:hAnsi="Calibri"/>
          <w:b/>
          <w:sz w:val="22"/>
        </w:rPr>
        <w:br/>
        <w:t>Controlled substances</w:t>
      </w:r>
      <w:r w:rsidRPr="002B7D90">
        <w:rPr>
          <w:rFonts w:ascii="Calibri" w:hAnsi="Calibri"/>
          <w:sz w:val="22"/>
        </w:rPr>
        <w:t xml:space="preserve"> (“CSs”) are drugs or other materials that, because of their potential for abuse, are closely regulated by the federal government and are classified according to Schedules I-V; </w:t>
      </w:r>
      <w:r w:rsidRPr="002B7D90">
        <w:rPr>
          <w:rFonts w:ascii="Calibri" w:hAnsi="Calibri"/>
          <w:sz w:val="22"/>
        </w:rPr>
        <w:br/>
        <w:t>“</w:t>
      </w:r>
      <w:r w:rsidRPr="002B7D90">
        <w:rPr>
          <w:rFonts w:ascii="Calibri" w:hAnsi="Calibri"/>
          <w:b/>
          <w:sz w:val="22"/>
        </w:rPr>
        <w:t>Schedule I</w:t>
      </w:r>
      <w:r w:rsidRPr="002B7D90">
        <w:rPr>
          <w:rFonts w:ascii="Calibri" w:hAnsi="Calibri"/>
          <w:sz w:val="22"/>
        </w:rPr>
        <w:t>” CSs are illegal drugs such as cocaine and heroin that are not legal to possess or use; “</w:t>
      </w:r>
      <w:r w:rsidRPr="002B7D90">
        <w:rPr>
          <w:rFonts w:ascii="Calibri" w:hAnsi="Calibri"/>
          <w:b/>
          <w:sz w:val="22"/>
        </w:rPr>
        <w:t>Schedule II through V</w:t>
      </w:r>
      <w:r w:rsidRPr="002B7D90">
        <w:rPr>
          <w:rFonts w:ascii="Calibri" w:hAnsi="Calibri"/>
          <w:sz w:val="22"/>
        </w:rPr>
        <w:t xml:space="preserve">” CSs are legal pharmaceuticals; the rule addresses the collection and destruction of Schedule II – V CSs.  </w:t>
      </w:r>
      <w:r w:rsidRPr="002B7D90">
        <w:rPr>
          <w:rFonts w:ascii="Calibri" w:hAnsi="Calibri"/>
          <w:sz w:val="22"/>
        </w:rPr>
        <w:br/>
        <w:t>In the controlled substance universe, “</w:t>
      </w:r>
      <w:r w:rsidRPr="002B7D90">
        <w:rPr>
          <w:rFonts w:ascii="Calibri" w:hAnsi="Calibri"/>
          <w:b/>
          <w:sz w:val="22"/>
        </w:rPr>
        <w:t>registrants</w:t>
      </w:r>
      <w:r w:rsidRPr="002B7D90">
        <w:rPr>
          <w:rFonts w:ascii="Calibri" w:hAnsi="Calibri"/>
          <w:sz w:val="22"/>
        </w:rPr>
        <w:t xml:space="preserve">” are those entities that are registered with DEA to handle controlled substance drugs from the point of manufacture, through distribution, to retail pharmacy sale, or administration in a hospital.  </w:t>
      </w:r>
      <w:r w:rsidRPr="002B7D90">
        <w:rPr>
          <w:rFonts w:ascii="Calibri" w:hAnsi="Calibri"/>
          <w:sz w:val="22"/>
        </w:rPr>
        <w:br/>
        <w:t>“</w:t>
      </w:r>
      <w:r w:rsidRPr="002B7D90">
        <w:rPr>
          <w:rFonts w:ascii="Calibri" w:hAnsi="Calibri"/>
          <w:b/>
          <w:sz w:val="22"/>
        </w:rPr>
        <w:t>Reverse distributors</w:t>
      </w:r>
      <w:r w:rsidRPr="002B7D90">
        <w:rPr>
          <w:rFonts w:ascii="Calibri" w:hAnsi="Calibri"/>
          <w:sz w:val="22"/>
        </w:rPr>
        <w:t xml:space="preserve">” are registrant companies authorized to accept unsold controlled substances from other registrants or law enforcement for purposes of return-for-credit and/or for destruction.  </w:t>
      </w:r>
    </w:p>
    <w:p w:rsidR="00637045" w:rsidRPr="002B7D90" w:rsidRDefault="00637045" w:rsidP="003C7AA3">
      <w:pPr>
        <w:autoSpaceDE w:val="0"/>
        <w:autoSpaceDN w:val="0"/>
        <w:adjustRightInd w:val="0"/>
        <w:rPr>
          <w:rFonts w:ascii="Calibri" w:hAnsi="Calibri"/>
          <w:sz w:val="22"/>
        </w:rPr>
      </w:pPr>
      <w:r w:rsidRPr="002B7D90">
        <w:rPr>
          <w:rFonts w:ascii="Calibri" w:hAnsi="Calibri"/>
          <w:sz w:val="22"/>
        </w:rPr>
        <w:t>An “</w:t>
      </w:r>
      <w:r w:rsidRPr="002B7D90">
        <w:rPr>
          <w:rFonts w:ascii="Calibri" w:hAnsi="Calibri"/>
          <w:b/>
          <w:sz w:val="22"/>
        </w:rPr>
        <w:t>Ultimate user</w:t>
      </w:r>
      <w:r w:rsidRPr="002B7D90">
        <w:rPr>
          <w:rFonts w:ascii="Calibri" w:hAnsi="Calibri"/>
          <w:sz w:val="22"/>
        </w:rPr>
        <w:t xml:space="preserve">” is “a person who has lawfully obtained, and who possesses, a controlled substance for his own use or for the use of a member of his household or for an animal owned by him or by a member of his household” </w:t>
      </w:r>
      <w:r w:rsidRPr="002B7D90">
        <w:rPr>
          <w:rFonts w:ascii="Calibri" w:hAnsi="Calibri"/>
          <w:sz w:val="18"/>
        </w:rPr>
        <w:t>(21 U.S.C. 802, see</w:t>
      </w:r>
      <w:r w:rsidRPr="002B7D90">
        <w:rPr>
          <w:rFonts w:ascii="Calibri" w:hAnsi="Calibri"/>
          <w:sz w:val="20"/>
        </w:rPr>
        <w:t xml:space="preserve"> </w:t>
      </w:r>
      <w:hyperlink r:id="rId10" w:history="1">
        <w:r w:rsidRPr="002B7D90">
          <w:rPr>
            <w:rStyle w:val="Hyperlink"/>
            <w:rFonts w:ascii="Calibri" w:hAnsi="Calibri"/>
            <w:sz w:val="18"/>
          </w:rPr>
          <w:t>http://www.deadiversion.usdoj.gov/21cfr/21usc/802.htm</w:t>
        </w:r>
      </w:hyperlink>
      <w:r w:rsidRPr="002B7D90">
        <w:rPr>
          <w:rFonts w:ascii="Calibri" w:hAnsi="Calibri"/>
          <w:sz w:val="18"/>
        </w:rPr>
        <w:t>)</w:t>
      </w:r>
      <w:r w:rsidRPr="002B7D90">
        <w:rPr>
          <w:rFonts w:ascii="Calibri" w:hAnsi="Calibri"/>
          <w:szCs w:val="24"/>
        </w:rPr>
        <w:t xml:space="preserve">. </w:t>
      </w:r>
      <w:r w:rsidRPr="002B7D90">
        <w:rPr>
          <w:rFonts w:ascii="Calibri" w:hAnsi="Calibri"/>
          <w:sz w:val="22"/>
        </w:rPr>
        <w:t xml:space="preserve"> </w:t>
      </w:r>
      <w:r w:rsidRPr="002B7D90">
        <w:rPr>
          <w:rFonts w:ascii="Calibri" w:hAnsi="Calibri"/>
          <w:sz w:val="22"/>
        </w:rPr>
        <w:br/>
        <w:t>DEA proposes slightly different requirements for authorized collectors that are “</w:t>
      </w:r>
      <w:r w:rsidRPr="002B7D90">
        <w:rPr>
          <w:rFonts w:ascii="Calibri" w:hAnsi="Calibri"/>
          <w:b/>
          <w:sz w:val="22"/>
        </w:rPr>
        <w:t>Practitioners</w:t>
      </w:r>
      <w:r w:rsidRPr="002B7D90">
        <w:rPr>
          <w:rFonts w:ascii="Calibri" w:hAnsi="Calibri"/>
          <w:sz w:val="22"/>
        </w:rPr>
        <w:t>” (i.e., retail pharmacies and hospitals/clinics with on-site pharmacies) and those that are “</w:t>
      </w:r>
      <w:r w:rsidRPr="002B7D90">
        <w:rPr>
          <w:rFonts w:ascii="Calibri" w:hAnsi="Calibri"/>
          <w:b/>
          <w:sz w:val="22"/>
        </w:rPr>
        <w:t>Non-practitioners</w:t>
      </w:r>
      <w:r w:rsidRPr="002B7D90">
        <w:rPr>
          <w:rFonts w:ascii="Calibri" w:hAnsi="Calibri"/>
          <w:sz w:val="22"/>
        </w:rPr>
        <w:t xml:space="preserve">” (i.e., manufacturers, distributors, reverse distributors, narcotic treatment centers). </w:t>
      </w:r>
    </w:p>
    <w:p w:rsidR="00637045" w:rsidRPr="002B7D90" w:rsidRDefault="00637045" w:rsidP="005D623E">
      <w:pPr>
        <w:rPr>
          <w:rFonts w:ascii="Calibri" w:hAnsi="Calibri"/>
          <w:color w:val="00B050"/>
          <w:sz w:val="22"/>
        </w:rPr>
      </w:pPr>
    </w:p>
    <w:p w:rsidR="00637045" w:rsidRPr="002B7D90" w:rsidRDefault="00637045" w:rsidP="004F5766">
      <w:pPr>
        <w:rPr>
          <w:rFonts w:ascii="Calibri" w:hAnsi="Calibri"/>
          <w:b/>
          <w:sz w:val="22"/>
        </w:rPr>
      </w:pPr>
      <w:r w:rsidRPr="002B7D90">
        <w:rPr>
          <w:rFonts w:ascii="Calibri" w:hAnsi="Calibri"/>
          <w:b/>
          <w:sz w:val="22"/>
        </w:rPr>
        <w:t>General background</w:t>
      </w:r>
    </w:p>
    <w:p w:rsidR="00637045" w:rsidRPr="002B7D90" w:rsidRDefault="00637045" w:rsidP="005D623E">
      <w:pPr>
        <w:rPr>
          <w:rFonts w:ascii="Calibri" w:hAnsi="Calibri"/>
          <w:sz w:val="22"/>
        </w:rPr>
      </w:pPr>
      <w:r w:rsidRPr="002B7D90">
        <w:rPr>
          <w:rFonts w:ascii="Calibri" w:hAnsi="Calibri"/>
          <w:sz w:val="22"/>
        </w:rPr>
        <w:t>Collection methods for controlled substances in the final rule include:</w:t>
      </w:r>
    </w:p>
    <w:p w:rsidR="00637045" w:rsidRPr="002B7D90" w:rsidRDefault="00637045" w:rsidP="00475B12">
      <w:pPr>
        <w:numPr>
          <w:ilvl w:val="0"/>
          <w:numId w:val="10"/>
        </w:numPr>
        <w:rPr>
          <w:rFonts w:ascii="Calibri" w:hAnsi="Calibri"/>
          <w:sz w:val="22"/>
        </w:rPr>
      </w:pPr>
      <w:r w:rsidRPr="002B7D90">
        <w:rPr>
          <w:rFonts w:ascii="Calibri" w:hAnsi="Calibri"/>
          <w:b/>
          <w:sz w:val="22"/>
        </w:rPr>
        <w:t>Take-back events</w:t>
      </w:r>
      <w:r w:rsidRPr="002B7D90">
        <w:rPr>
          <w:rFonts w:ascii="Calibri" w:hAnsi="Calibri"/>
          <w:sz w:val="22"/>
        </w:rPr>
        <w:t xml:space="preserve"> – conducted by </w:t>
      </w:r>
      <w:r>
        <w:rPr>
          <w:rFonts w:ascii="Calibri" w:hAnsi="Calibri"/>
          <w:sz w:val="22"/>
        </w:rPr>
        <w:t>law enforcement</w:t>
      </w:r>
      <w:r w:rsidRPr="002B7D90">
        <w:rPr>
          <w:rFonts w:ascii="Calibri" w:hAnsi="Calibri"/>
          <w:sz w:val="22"/>
        </w:rPr>
        <w:t>.</w:t>
      </w:r>
    </w:p>
    <w:p w:rsidR="00637045" w:rsidRPr="002B7D90" w:rsidRDefault="00637045" w:rsidP="00475B12">
      <w:pPr>
        <w:numPr>
          <w:ilvl w:val="0"/>
          <w:numId w:val="10"/>
        </w:numPr>
        <w:rPr>
          <w:rFonts w:ascii="Calibri" w:hAnsi="Calibri"/>
          <w:sz w:val="22"/>
        </w:rPr>
      </w:pPr>
      <w:r w:rsidRPr="002B7D90">
        <w:rPr>
          <w:rFonts w:ascii="Calibri" w:hAnsi="Calibri"/>
          <w:b/>
          <w:sz w:val="22"/>
        </w:rPr>
        <w:t>Mail-back programs</w:t>
      </w:r>
      <w:r w:rsidRPr="002B7D90">
        <w:rPr>
          <w:rFonts w:ascii="Calibri" w:hAnsi="Calibri"/>
          <w:sz w:val="22"/>
        </w:rPr>
        <w:t xml:space="preserve"> – administered by authorized manufacturers, distributors, reverse distributors, retail pharmacies, </w:t>
      </w:r>
      <w:proofErr w:type="gramStart"/>
      <w:r w:rsidRPr="002B7D90">
        <w:rPr>
          <w:rFonts w:ascii="Calibri" w:hAnsi="Calibri"/>
          <w:sz w:val="22"/>
        </w:rPr>
        <w:t>hospitals</w:t>
      </w:r>
      <w:proofErr w:type="gramEnd"/>
      <w:r w:rsidRPr="002B7D90">
        <w:rPr>
          <w:rFonts w:ascii="Calibri" w:hAnsi="Calibri"/>
          <w:sz w:val="22"/>
        </w:rPr>
        <w:t xml:space="preserve">/clinics with an on-site pharmacy, narcotic treatment centers, or </w:t>
      </w:r>
      <w:r>
        <w:rPr>
          <w:rFonts w:ascii="Calibri" w:hAnsi="Calibri"/>
          <w:sz w:val="22"/>
        </w:rPr>
        <w:t>law enforcement</w:t>
      </w:r>
      <w:r w:rsidRPr="002B7D90">
        <w:rPr>
          <w:rFonts w:ascii="Calibri" w:hAnsi="Calibri"/>
          <w:sz w:val="22"/>
        </w:rPr>
        <w:t>.</w:t>
      </w:r>
    </w:p>
    <w:p w:rsidR="00637045" w:rsidRPr="002B7D90" w:rsidRDefault="00637045" w:rsidP="005D623E">
      <w:pPr>
        <w:numPr>
          <w:ilvl w:val="0"/>
          <w:numId w:val="10"/>
        </w:numPr>
        <w:rPr>
          <w:rFonts w:ascii="Calibri" w:hAnsi="Calibri"/>
          <w:sz w:val="22"/>
        </w:rPr>
      </w:pPr>
      <w:r w:rsidRPr="002B7D90">
        <w:rPr>
          <w:rFonts w:ascii="Calibri" w:hAnsi="Calibri"/>
          <w:b/>
          <w:sz w:val="22"/>
        </w:rPr>
        <w:t>Collection receptacle</w:t>
      </w:r>
      <w:r w:rsidR="00BC6A46">
        <w:rPr>
          <w:rFonts w:ascii="Calibri" w:hAnsi="Calibri"/>
          <w:b/>
          <w:sz w:val="22"/>
        </w:rPr>
        <w:t>s</w:t>
      </w:r>
      <w:r w:rsidRPr="002B7D90">
        <w:rPr>
          <w:rFonts w:ascii="Calibri" w:hAnsi="Calibri"/>
          <w:b/>
          <w:sz w:val="22"/>
        </w:rPr>
        <w:t xml:space="preserve"> (i.e., permanent drop-off boxes)</w:t>
      </w:r>
      <w:r w:rsidRPr="002B7D90">
        <w:rPr>
          <w:rFonts w:ascii="Calibri" w:hAnsi="Calibri"/>
          <w:sz w:val="22"/>
        </w:rPr>
        <w:t xml:space="preserve"> – operated by authorized manufacturers, distributors, reverse distributors, retail pharmacies, hospitals/clinics with an on-site pharmacy, narcotic treatment centers, or</w:t>
      </w:r>
      <w:r w:rsidR="00BC6A46">
        <w:rPr>
          <w:rFonts w:ascii="Calibri" w:hAnsi="Calibri"/>
          <w:sz w:val="22"/>
        </w:rPr>
        <w:t xml:space="preserve"> by</w:t>
      </w:r>
      <w:r w:rsidRPr="002B7D90">
        <w:rPr>
          <w:rFonts w:ascii="Calibri" w:hAnsi="Calibri"/>
          <w:sz w:val="22"/>
        </w:rPr>
        <w:t xml:space="preserve"> </w:t>
      </w:r>
      <w:r>
        <w:rPr>
          <w:rFonts w:ascii="Calibri" w:hAnsi="Calibri"/>
          <w:sz w:val="22"/>
        </w:rPr>
        <w:t>law enforcement</w:t>
      </w:r>
      <w:r w:rsidRPr="002B7D90">
        <w:rPr>
          <w:rFonts w:ascii="Calibri" w:hAnsi="Calibri"/>
          <w:sz w:val="22"/>
        </w:rPr>
        <w:t xml:space="preserve">. </w:t>
      </w:r>
      <w:r w:rsidRPr="002B7D90">
        <w:rPr>
          <w:rFonts w:ascii="Calibri" w:hAnsi="Calibri"/>
          <w:sz w:val="22"/>
        </w:rPr>
        <w:br/>
        <w:t>Authorized retail pharmacies and hospitals/clinics with an on-site pharmacy may also operate collection receptacles at long-term care facilities (“LTCFs”).</w:t>
      </w:r>
    </w:p>
    <w:p w:rsidR="00637045" w:rsidRPr="002B7D90" w:rsidRDefault="00637045" w:rsidP="005D623E">
      <w:pPr>
        <w:rPr>
          <w:rFonts w:ascii="Calibri" w:hAnsi="Calibri"/>
          <w:color w:val="00B050"/>
          <w:sz w:val="22"/>
        </w:rPr>
      </w:pPr>
    </w:p>
    <w:p w:rsidR="00637045" w:rsidRPr="002B7D90" w:rsidRDefault="00637045" w:rsidP="005D623E">
      <w:pPr>
        <w:rPr>
          <w:rFonts w:ascii="Calibri" w:hAnsi="Calibri"/>
          <w:sz w:val="22"/>
        </w:rPr>
      </w:pPr>
      <w:r w:rsidRPr="002B7D90">
        <w:rPr>
          <w:rFonts w:ascii="Calibri" w:hAnsi="Calibri"/>
          <w:sz w:val="22"/>
        </w:rPr>
        <w:t xml:space="preserve">The proposed regulations also reorganize and consolidate existing regulations on disposal, including </w:t>
      </w:r>
      <w:r>
        <w:rPr>
          <w:rFonts w:ascii="Calibri" w:hAnsi="Calibri"/>
          <w:sz w:val="22"/>
        </w:rPr>
        <w:t xml:space="preserve">clarifying </w:t>
      </w:r>
      <w:r w:rsidRPr="002B7D90">
        <w:rPr>
          <w:rFonts w:ascii="Calibri" w:hAnsi="Calibri"/>
          <w:sz w:val="22"/>
        </w:rPr>
        <w:t xml:space="preserve">the role of reverse distributors.  Definitions and other details are amended in </w:t>
      </w:r>
      <w:r w:rsidRPr="00B30050">
        <w:rPr>
          <w:rFonts w:ascii="Calibri" w:hAnsi="Calibri"/>
          <w:sz w:val="22"/>
        </w:rPr>
        <w:t xml:space="preserve">Parts § 1300, 1301, 1304, 1305, 1307 of Title 21 of the </w:t>
      </w:r>
      <w:r w:rsidRPr="00B30050">
        <w:rPr>
          <w:rFonts w:ascii="Calibri" w:hAnsi="Calibri"/>
          <w:i/>
          <w:sz w:val="22"/>
        </w:rPr>
        <w:t>Code of Federal Regulations</w:t>
      </w:r>
      <w:r w:rsidRPr="00B30050">
        <w:rPr>
          <w:rFonts w:ascii="Calibri" w:hAnsi="Calibri"/>
          <w:sz w:val="22"/>
        </w:rPr>
        <w:t xml:space="preserve"> (“CFR”).  A whole new Part § 1317</w:t>
      </w:r>
      <w:r w:rsidRPr="002B7D90">
        <w:rPr>
          <w:rFonts w:ascii="Calibri" w:hAnsi="Calibri"/>
          <w:sz w:val="22"/>
        </w:rPr>
        <w:t>, labeled “Disposal,” is added.  We reference specific sections of the proposed CFR citations throughout this summary.</w:t>
      </w:r>
    </w:p>
    <w:p w:rsidR="00637045" w:rsidRPr="002B7D90" w:rsidRDefault="00637045" w:rsidP="005D623E">
      <w:pPr>
        <w:rPr>
          <w:rFonts w:ascii="Calibri" w:hAnsi="Calibri"/>
          <w:color w:val="00B050"/>
          <w:sz w:val="22"/>
        </w:rPr>
      </w:pPr>
    </w:p>
    <w:p w:rsidR="00637045" w:rsidRPr="002B7D90" w:rsidRDefault="00637045" w:rsidP="009A6EDA">
      <w:pPr>
        <w:rPr>
          <w:rFonts w:ascii="Calibri" w:hAnsi="Calibri"/>
          <w:sz w:val="22"/>
        </w:rPr>
      </w:pPr>
      <w:r w:rsidRPr="002B7D90">
        <w:rPr>
          <w:rFonts w:ascii="Calibri" w:hAnsi="Calibri"/>
          <w:sz w:val="22"/>
        </w:rPr>
        <w:t>The Secure &amp; Responsible Drug Disposal Act of 2010 defines that the rule applies to controlled substances (Schedule II – V) accepted for disposal from:</w:t>
      </w:r>
    </w:p>
    <w:p w:rsidR="00637045" w:rsidRPr="002B7D90" w:rsidRDefault="00637045" w:rsidP="00C66793">
      <w:pPr>
        <w:pStyle w:val="ListParagraph"/>
        <w:numPr>
          <w:ilvl w:val="0"/>
          <w:numId w:val="11"/>
        </w:numPr>
        <w:spacing w:after="200" w:line="276" w:lineRule="auto"/>
        <w:rPr>
          <w:rFonts w:ascii="Calibri" w:hAnsi="Calibri"/>
          <w:sz w:val="22"/>
        </w:rPr>
      </w:pPr>
      <w:r w:rsidRPr="002B7D90">
        <w:rPr>
          <w:rFonts w:ascii="Calibri" w:hAnsi="Calibri"/>
          <w:sz w:val="22"/>
        </w:rPr>
        <w:t xml:space="preserve">An </w:t>
      </w:r>
      <w:r w:rsidRPr="002B7D90">
        <w:rPr>
          <w:rFonts w:ascii="Calibri" w:hAnsi="Calibri"/>
          <w:b/>
          <w:sz w:val="22"/>
        </w:rPr>
        <w:t>ultimate user</w:t>
      </w:r>
      <w:r w:rsidRPr="002B7D90">
        <w:rPr>
          <w:rFonts w:ascii="Calibri" w:hAnsi="Calibri"/>
          <w:sz w:val="22"/>
        </w:rPr>
        <w:t xml:space="preserve"> (i.e., the person to whom the drug is prescribed, or a member of the person’s household, or an animal owned by the person) </w:t>
      </w:r>
      <w:r w:rsidRPr="002B7D90">
        <w:rPr>
          <w:rFonts w:ascii="Calibri" w:hAnsi="Calibri"/>
          <w:sz w:val="18"/>
          <w:szCs w:val="18"/>
        </w:rPr>
        <w:t>[§ 1317.30(b)(1)]</w:t>
      </w:r>
      <w:r w:rsidRPr="002B7D90">
        <w:rPr>
          <w:rFonts w:ascii="Calibri" w:hAnsi="Calibri"/>
          <w:sz w:val="22"/>
        </w:rPr>
        <w:t>; or</w:t>
      </w:r>
    </w:p>
    <w:p w:rsidR="00637045" w:rsidRPr="002B7D90" w:rsidRDefault="00637045" w:rsidP="00C66793">
      <w:pPr>
        <w:pStyle w:val="ListParagraph"/>
        <w:numPr>
          <w:ilvl w:val="0"/>
          <w:numId w:val="11"/>
        </w:numPr>
        <w:spacing w:after="200" w:line="276" w:lineRule="auto"/>
        <w:rPr>
          <w:rFonts w:ascii="Calibri" w:hAnsi="Calibri"/>
          <w:sz w:val="22"/>
        </w:rPr>
      </w:pPr>
      <w:r w:rsidRPr="002B7D90">
        <w:rPr>
          <w:rFonts w:ascii="Calibri" w:hAnsi="Calibri"/>
          <w:b/>
          <w:sz w:val="22"/>
        </w:rPr>
        <w:t>Individuals legally authorized to dispose of ultimate user decedent’s property</w:t>
      </w:r>
      <w:r w:rsidRPr="002B7D90">
        <w:rPr>
          <w:rFonts w:ascii="Calibri" w:hAnsi="Calibri"/>
          <w:sz w:val="22"/>
        </w:rPr>
        <w:t xml:space="preserve"> (i.e., when a person dies, a person authorized to dispose of their property may return their drugs for disposal) </w:t>
      </w:r>
      <w:r w:rsidRPr="002B7D90">
        <w:rPr>
          <w:rFonts w:ascii="Calibri" w:hAnsi="Calibri"/>
          <w:sz w:val="18"/>
          <w:szCs w:val="18"/>
        </w:rPr>
        <w:t>[§ 1307.30(b)(2)]</w:t>
      </w:r>
      <w:r w:rsidRPr="002B7D90">
        <w:rPr>
          <w:rFonts w:ascii="Calibri" w:hAnsi="Calibri"/>
          <w:sz w:val="22"/>
        </w:rPr>
        <w:t>; or</w:t>
      </w:r>
    </w:p>
    <w:p w:rsidR="00637045" w:rsidRPr="002B7D90" w:rsidRDefault="00637045" w:rsidP="00C66793">
      <w:pPr>
        <w:pStyle w:val="ListParagraph"/>
        <w:numPr>
          <w:ilvl w:val="0"/>
          <w:numId w:val="11"/>
        </w:numPr>
        <w:spacing w:line="276" w:lineRule="auto"/>
        <w:rPr>
          <w:rFonts w:ascii="Calibri" w:hAnsi="Calibri"/>
          <w:sz w:val="22"/>
        </w:rPr>
      </w:pPr>
      <w:r w:rsidRPr="002B7D90">
        <w:rPr>
          <w:rFonts w:ascii="Calibri" w:hAnsi="Calibri"/>
          <w:b/>
          <w:sz w:val="22"/>
        </w:rPr>
        <w:t>Long-term care facilities</w:t>
      </w:r>
      <w:r w:rsidRPr="002B7D90">
        <w:rPr>
          <w:rFonts w:ascii="Calibri" w:hAnsi="Calibri"/>
          <w:sz w:val="22"/>
        </w:rPr>
        <w:t xml:space="preserve">, on behalf of an ultimate user who resides, or has resided, at the LTCF </w:t>
      </w:r>
      <w:r w:rsidRPr="002B7D90">
        <w:rPr>
          <w:rFonts w:ascii="Calibri" w:hAnsi="Calibri"/>
          <w:sz w:val="18"/>
          <w:szCs w:val="18"/>
        </w:rPr>
        <w:t>[§ 1317.30(b</w:t>
      </w:r>
      <w:proofErr w:type="gramStart"/>
      <w:r w:rsidRPr="002B7D90">
        <w:rPr>
          <w:rFonts w:ascii="Calibri" w:hAnsi="Calibri"/>
          <w:sz w:val="18"/>
          <w:szCs w:val="18"/>
        </w:rPr>
        <w:t>)(</w:t>
      </w:r>
      <w:proofErr w:type="gramEnd"/>
      <w:r w:rsidRPr="002B7D90">
        <w:rPr>
          <w:rFonts w:ascii="Calibri" w:hAnsi="Calibri"/>
          <w:sz w:val="18"/>
          <w:szCs w:val="18"/>
        </w:rPr>
        <w:t>3)]</w:t>
      </w:r>
      <w:r w:rsidRPr="002B7D90">
        <w:rPr>
          <w:rFonts w:ascii="Calibri" w:hAnsi="Calibri"/>
          <w:sz w:val="22"/>
        </w:rPr>
        <w:t xml:space="preserve">, only </w:t>
      </w:r>
      <w:r w:rsidRPr="002B7D90">
        <w:rPr>
          <w:rFonts w:ascii="Calibri" w:hAnsi="Calibri"/>
          <w:b/>
          <w:sz w:val="22"/>
        </w:rPr>
        <w:t>via a collection receptacle on the premises maintained by a retail pharmacy</w:t>
      </w:r>
      <w:r w:rsidRPr="002B7D90">
        <w:rPr>
          <w:rFonts w:ascii="Calibri" w:hAnsi="Calibri"/>
          <w:sz w:val="22"/>
        </w:rPr>
        <w:t xml:space="preserve"> or a hospital/clinic with an on-site pharmacy  </w:t>
      </w:r>
      <w:r w:rsidRPr="002B7D90">
        <w:rPr>
          <w:rFonts w:ascii="Calibri" w:hAnsi="Calibri"/>
          <w:sz w:val="18"/>
          <w:szCs w:val="18"/>
        </w:rPr>
        <w:t>[§ 1317.80]</w:t>
      </w:r>
      <w:r w:rsidRPr="002B7D90">
        <w:rPr>
          <w:rFonts w:ascii="Calibri" w:hAnsi="Calibri"/>
          <w:sz w:val="22"/>
        </w:rPr>
        <w:t>.  (LTCF is defined in§ § 1300.01(b) and “means a nursing home, retirement care, mental care or other facility or institution which provides extended health care to resident patients.”)</w:t>
      </w:r>
    </w:p>
    <w:p w:rsidR="00637045" w:rsidRPr="002B7D90" w:rsidRDefault="00637045" w:rsidP="001765F3">
      <w:pPr>
        <w:spacing w:line="276" w:lineRule="auto"/>
        <w:rPr>
          <w:rFonts w:ascii="Calibri" w:hAnsi="Calibri"/>
          <w:sz w:val="22"/>
        </w:rPr>
      </w:pPr>
    </w:p>
    <w:p w:rsidR="00637045" w:rsidRPr="002B7D90" w:rsidRDefault="00637045" w:rsidP="001765F3">
      <w:pPr>
        <w:spacing w:line="276" w:lineRule="auto"/>
        <w:rPr>
          <w:rFonts w:ascii="Calibri" w:hAnsi="Calibri"/>
          <w:sz w:val="22"/>
        </w:rPr>
      </w:pPr>
      <w:r w:rsidRPr="002B7D90">
        <w:rPr>
          <w:rFonts w:ascii="Calibri" w:hAnsi="Calibri"/>
          <w:sz w:val="22"/>
        </w:rPr>
        <w:t>General provisions that apply to all collection methods:</w:t>
      </w:r>
    </w:p>
    <w:p w:rsidR="00637045" w:rsidRPr="002B7D90" w:rsidRDefault="00637045" w:rsidP="009E67F4">
      <w:pPr>
        <w:numPr>
          <w:ilvl w:val="0"/>
          <w:numId w:val="11"/>
        </w:numPr>
        <w:rPr>
          <w:rFonts w:ascii="Calibri" w:hAnsi="Calibri"/>
          <w:b/>
          <w:sz w:val="22"/>
        </w:rPr>
      </w:pPr>
      <w:r w:rsidRPr="002B7D90">
        <w:rPr>
          <w:rFonts w:ascii="Calibri" w:hAnsi="Calibri"/>
          <w:sz w:val="22"/>
        </w:rPr>
        <w:t>According to the provisions of the Secure &amp; Responsible Drug Disposal Act of 2010:</w:t>
      </w:r>
    </w:p>
    <w:p w:rsidR="00637045" w:rsidRPr="002B7D90" w:rsidRDefault="00637045" w:rsidP="009E67F4">
      <w:pPr>
        <w:numPr>
          <w:ilvl w:val="1"/>
          <w:numId w:val="11"/>
        </w:numPr>
        <w:rPr>
          <w:rFonts w:ascii="Calibri" w:hAnsi="Calibri"/>
          <w:b/>
          <w:sz w:val="22"/>
        </w:rPr>
      </w:pPr>
      <w:proofErr w:type="gramStart"/>
      <w:r w:rsidRPr="002B7D90">
        <w:rPr>
          <w:rFonts w:ascii="Calibri" w:hAnsi="Calibri"/>
          <w:sz w:val="22"/>
        </w:rPr>
        <w:t>all</w:t>
      </w:r>
      <w:proofErr w:type="gramEnd"/>
      <w:r w:rsidRPr="002B7D90">
        <w:rPr>
          <w:rFonts w:ascii="Calibri" w:hAnsi="Calibri"/>
          <w:sz w:val="22"/>
        </w:rPr>
        <w:t xml:space="preserve"> proposed collection methods are </w:t>
      </w:r>
      <w:r w:rsidRPr="002B7D90">
        <w:rPr>
          <w:rFonts w:ascii="Calibri" w:hAnsi="Calibri"/>
          <w:b/>
          <w:sz w:val="22"/>
        </w:rPr>
        <w:t>voluntary</w:t>
      </w:r>
      <w:r w:rsidRPr="002B7D90">
        <w:rPr>
          <w:rFonts w:ascii="Calibri" w:hAnsi="Calibri"/>
          <w:sz w:val="22"/>
        </w:rPr>
        <w:t>. Nothing in the rule requires anyone to serve as a collector.</w:t>
      </w:r>
    </w:p>
    <w:p w:rsidR="00637045" w:rsidRPr="002B7D90" w:rsidRDefault="00637045" w:rsidP="009E67F4">
      <w:pPr>
        <w:numPr>
          <w:ilvl w:val="1"/>
          <w:numId w:val="11"/>
        </w:numPr>
        <w:rPr>
          <w:rFonts w:ascii="Calibri" w:hAnsi="Calibri"/>
          <w:sz w:val="22"/>
        </w:rPr>
      </w:pPr>
      <w:proofErr w:type="gramStart"/>
      <w:r w:rsidRPr="002B7D90">
        <w:rPr>
          <w:rFonts w:ascii="Calibri" w:hAnsi="Calibri"/>
          <w:b/>
          <w:sz w:val="22"/>
        </w:rPr>
        <w:t>no</w:t>
      </w:r>
      <w:proofErr w:type="gramEnd"/>
      <w:r w:rsidRPr="002B7D90">
        <w:rPr>
          <w:rFonts w:ascii="Calibri" w:hAnsi="Calibri"/>
          <w:b/>
          <w:sz w:val="22"/>
        </w:rPr>
        <w:t xml:space="preserve"> funding</w:t>
      </w:r>
      <w:r w:rsidRPr="002B7D90">
        <w:rPr>
          <w:rFonts w:ascii="Calibri" w:hAnsi="Calibri"/>
          <w:sz w:val="22"/>
        </w:rPr>
        <w:t xml:space="preserve"> mechanism is provided for CS disposal, collection or destruction.</w:t>
      </w:r>
    </w:p>
    <w:p w:rsidR="00637045" w:rsidRPr="002B7D90" w:rsidRDefault="00637045" w:rsidP="001B14CF">
      <w:pPr>
        <w:numPr>
          <w:ilvl w:val="0"/>
          <w:numId w:val="11"/>
        </w:numPr>
        <w:rPr>
          <w:rFonts w:ascii="Calibri" w:hAnsi="Calibri"/>
          <w:sz w:val="22"/>
        </w:rPr>
      </w:pPr>
      <w:r w:rsidRPr="002B7D90">
        <w:rPr>
          <w:rFonts w:ascii="Calibri" w:hAnsi="Calibri"/>
          <w:sz w:val="22"/>
        </w:rPr>
        <w:t xml:space="preserve">Controlled substances and non-controlled medicines can be </w:t>
      </w:r>
      <w:r w:rsidRPr="002B7D90">
        <w:rPr>
          <w:rFonts w:ascii="Calibri" w:hAnsi="Calibri"/>
          <w:b/>
          <w:sz w:val="22"/>
        </w:rPr>
        <w:t>co</w:t>
      </w:r>
      <w:bookmarkStart w:id="0" w:name="_GoBack"/>
      <w:bookmarkEnd w:id="0"/>
      <w:r w:rsidRPr="002B7D90">
        <w:rPr>
          <w:rFonts w:ascii="Calibri" w:hAnsi="Calibri"/>
          <w:b/>
          <w:sz w:val="22"/>
        </w:rPr>
        <w:t>mingled</w:t>
      </w:r>
      <w:r w:rsidRPr="002B7D90">
        <w:rPr>
          <w:rFonts w:ascii="Calibri" w:hAnsi="Calibri"/>
          <w:sz w:val="22"/>
        </w:rPr>
        <w:t xml:space="preserve">, but this is not required </w:t>
      </w:r>
      <w:r w:rsidRPr="002B7D90">
        <w:rPr>
          <w:rFonts w:ascii="Calibri" w:hAnsi="Calibri"/>
          <w:sz w:val="18"/>
          <w:szCs w:val="18"/>
        </w:rPr>
        <w:t>[§ 1317.65(d), § 1317.70(b) and § 1317.75(b)]</w:t>
      </w:r>
      <w:r w:rsidRPr="002B7D90">
        <w:rPr>
          <w:rFonts w:ascii="Calibri" w:hAnsi="Calibri"/>
          <w:sz w:val="22"/>
        </w:rPr>
        <w:t>.</w:t>
      </w:r>
    </w:p>
    <w:p w:rsidR="00637045" w:rsidRPr="002B7D90" w:rsidRDefault="00637045" w:rsidP="001B14CF">
      <w:pPr>
        <w:numPr>
          <w:ilvl w:val="0"/>
          <w:numId w:val="11"/>
        </w:numPr>
        <w:rPr>
          <w:rFonts w:ascii="Calibri" w:hAnsi="Calibri"/>
          <w:sz w:val="18"/>
        </w:rPr>
      </w:pPr>
      <w:r w:rsidRPr="002B7D90">
        <w:rPr>
          <w:rFonts w:ascii="Calibri" w:hAnsi="Calibri"/>
          <w:sz w:val="22"/>
        </w:rPr>
        <w:t xml:space="preserve">The rule is silent on the issue of </w:t>
      </w:r>
      <w:r w:rsidRPr="002B7D90">
        <w:rPr>
          <w:rFonts w:ascii="Calibri" w:hAnsi="Calibri"/>
          <w:b/>
          <w:sz w:val="22"/>
        </w:rPr>
        <w:t>collection of loose pills</w:t>
      </w:r>
      <w:r w:rsidRPr="002B7D90">
        <w:rPr>
          <w:rFonts w:ascii="Calibri" w:hAnsi="Calibri"/>
          <w:sz w:val="22"/>
        </w:rPr>
        <w:t xml:space="preserve"> separated from their packaging (e.g., plastic pill bottles or blister packs).  This practice is not required, but is allowable at the discretion of the collector. </w:t>
      </w:r>
      <w:r w:rsidRPr="002B7D90">
        <w:rPr>
          <w:rFonts w:ascii="Calibri" w:hAnsi="Calibri"/>
          <w:sz w:val="18"/>
        </w:rPr>
        <w:t>[addressed in rule document on page 53532, third column, issue 4]</w:t>
      </w:r>
      <w:r>
        <w:rPr>
          <w:rFonts w:ascii="Calibri" w:hAnsi="Calibri"/>
          <w:sz w:val="18"/>
        </w:rPr>
        <w:t xml:space="preserve">  </w:t>
      </w:r>
      <w:r w:rsidR="00FB1506" w:rsidRPr="00FB1506">
        <w:rPr>
          <w:rFonts w:ascii="Calibri" w:hAnsi="Calibri"/>
          <w:sz w:val="22"/>
        </w:rPr>
        <w:t>[Note: as a best practice, individuals should only separate their medicines from packaging at the collection point</w:t>
      </w:r>
      <w:r w:rsidR="00FB1506">
        <w:rPr>
          <w:rFonts w:ascii="Calibri" w:hAnsi="Calibri"/>
          <w:sz w:val="22"/>
        </w:rPr>
        <w:t>.  Anyone transporting controlled substances may need to prove they are authorized to possess the medicine by showing name on prescription label.]</w:t>
      </w:r>
      <w:r w:rsidR="00FB1506" w:rsidRPr="00FB1506">
        <w:rPr>
          <w:rFonts w:ascii="Calibri" w:hAnsi="Calibri"/>
          <w:sz w:val="22"/>
        </w:rPr>
        <w:t xml:space="preserve"> </w:t>
      </w:r>
    </w:p>
    <w:p w:rsidR="00637045" w:rsidRPr="002B7D90" w:rsidRDefault="00637045" w:rsidP="001B14CF">
      <w:pPr>
        <w:numPr>
          <w:ilvl w:val="0"/>
          <w:numId w:val="11"/>
        </w:numPr>
        <w:rPr>
          <w:rFonts w:ascii="Calibri" w:hAnsi="Calibri"/>
          <w:sz w:val="18"/>
        </w:rPr>
      </w:pPr>
      <w:r w:rsidRPr="002B7D90">
        <w:rPr>
          <w:rFonts w:ascii="Calibri" w:hAnsi="Calibri"/>
          <w:b/>
          <w:sz w:val="22"/>
        </w:rPr>
        <w:t>Controlled substances cannot be counted</w:t>
      </w:r>
      <w:r w:rsidRPr="002B7D90">
        <w:rPr>
          <w:rFonts w:ascii="Calibri" w:hAnsi="Calibri"/>
          <w:sz w:val="22"/>
        </w:rPr>
        <w:t xml:space="preserve"> </w:t>
      </w:r>
      <w:r w:rsidRPr="002B7D90">
        <w:rPr>
          <w:rFonts w:ascii="Calibri" w:hAnsi="Calibri"/>
          <w:b/>
          <w:sz w:val="22"/>
        </w:rPr>
        <w:t>separately or inventoried</w:t>
      </w:r>
      <w:r w:rsidRPr="002B7D90">
        <w:rPr>
          <w:rFonts w:ascii="Calibri" w:hAnsi="Calibri"/>
          <w:sz w:val="22"/>
        </w:rPr>
        <w:t xml:space="preserve"> once collected into a sealed inner liner in a collection receptacle or a sealed mail-back package.  Sealed inner liners from collection receptacles and sealed mail-back packages cannot be opened, x-rayed, analyzed, or otherwise penetrated</w:t>
      </w:r>
      <w:proofErr w:type="gramStart"/>
      <w:r w:rsidRPr="002B7D90">
        <w:rPr>
          <w:rFonts w:ascii="Calibri" w:hAnsi="Calibri"/>
          <w:sz w:val="22"/>
        </w:rPr>
        <w:t>.</w:t>
      </w:r>
      <w:r w:rsidRPr="002B7D90">
        <w:rPr>
          <w:rFonts w:ascii="Calibri" w:hAnsi="Calibri"/>
          <w:sz w:val="18"/>
        </w:rPr>
        <w:t>[</w:t>
      </w:r>
      <w:proofErr w:type="gramEnd"/>
      <w:r w:rsidRPr="002B7D90">
        <w:rPr>
          <w:rFonts w:ascii="Calibri" w:hAnsi="Calibri"/>
          <w:sz w:val="18"/>
        </w:rPr>
        <w:t>§ 1317.60(c) and § 1317.70(f)]</w:t>
      </w:r>
      <w:r w:rsidRPr="002B7D90">
        <w:rPr>
          <w:rFonts w:ascii="Calibri" w:hAnsi="Calibri"/>
          <w:sz w:val="22"/>
        </w:rPr>
        <w:t xml:space="preserve">.  The </w:t>
      </w:r>
      <w:r w:rsidRPr="002B7D90">
        <w:rPr>
          <w:rFonts w:ascii="Calibri" w:hAnsi="Calibri"/>
          <w:b/>
          <w:sz w:val="22"/>
        </w:rPr>
        <w:t xml:space="preserve">only exception is that </w:t>
      </w:r>
      <w:r>
        <w:rPr>
          <w:rFonts w:ascii="Calibri" w:hAnsi="Calibri"/>
          <w:b/>
          <w:sz w:val="22"/>
        </w:rPr>
        <w:t>law enforcement</w:t>
      </w:r>
      <w:r w:rsidRPr="002B7D90">
        <w:rPr>
          <w:rFonts w:ascii="Calibri" w:hAnsi="Calibri"/>
          <w:b/>
          <w:sz w:val="22"/>
        </w:rPr>
        <w:t xml:space="preserve"> are not required to follow all the same security protocols as other collectors and therefore may conduct or allow sorting or inventorying</w:t>
      </w:r>
      <w:r w:rsidRPr="002B7D90">
        <w:rPr>
          <w:rFonts w:ascii="Calibri" w:hAnsi="Calibri"/>
          <w:sz w:val="22"/>
        </w:rPr>
        <w:t xml:space="preserve"> of controlled substances and other medicines they collect under appropriate law enforcement supervision. In addition, the rule does not prohibit visual screening of medicines prior to placement in a collection receptacle or polling of residents about the medicines they are disposing of.  </w:t>
      </w:r>
      <w:r w:rsidRPr="002B7D90">
        <w:rPr>
          <w:rFonts w:ascii="Calibri" w:hAnsi="Calibri"/>
          <w:sz w:val="18"/>
        </w:rPr>
        <w:t>[Federal Register 79 (174) on page 53534, column 2, Issue 16; on page 53538, second column, Issue 5; and on page 53539, column 2, issue 3.]</w:t>
      </w:r>
    </w:p>
    <w:p w:rsidR="00637045" w:rsidRPr="002B7D90" w:rsidRDefault="00637045" w:rsidP="001B14CF">
      <w:pPr>
        <w:numPr>
          <w:ilvl w:val="0"/>
          <w:numId w:val="11"/>
        </w:numPr>
        <w:rPr>
          <w:rFonts w:ascii="Calibri" w:hAnsi="Calibri"/>
          <w:sz w:val="18"/>
        </w:rPr>
      </w:pPr>
      <w:r w:rsidRPr="002B7D90">
        <w:rPr>
          <w:rFonts w:ascii="Calibri" w:hAnsi="Calibri"/>
          <w:sz w:val="22"/>
          <w:szCs w:val="18"/>
        </w:rPr>
        <w:t xml:space="preserve">Employee of a registrant is as defined under the general common law of agency. </w:t>
      </w:r>
      <w:r w:rsidRPr="002B7D90">
        <w:rPr>
          <w:rFonts w:ascii="Calibri" w:hAnsi="Calibri"/>
          <w:sz w:val="18"/>
          <w:szCs w:val="18"/>
        </w:rPr>
        <w:t xml:space="preserve">[§ 1300.05(b)] </w:t>
      </w:r>
      <w:r w:rsidRPr="002B7D90">
        <w:rPr>
          <w:rFonts w:ascii="Calibri" w:hAnsi="Calibri"/>
          <w:sz w:val="22"/>
          <w:szCs w:val="18"/>
        </w:rPr>
        <w:t xml:space="preserve">There are specific prohibitions against collectors employing anyone with access to controlled substances that has a felony conviction or that has had a DEA license denied/revoked/suspended. </w:t>
      </w:r>
      <w:r w:rsidRPr="002B7D90">
        <w:rPr>
          <w:rFonts w:ascii="Calibri" w:hAnsi="Calibri"/>
          <w:sz w:val="18"/>
          <w:szCs w:val="18"/>
        </w:rPr>
        <w:t>[§ 1301.71(f)]</w:t>
      </w:r>
    </w:p>
    <w:p w:rsidR="00637045" w:rsidRPr="002B7D90" w:rsidRDefault="00637045" w:rsidP="001B14CF">
      <w:pPr>
        <w:numPr>
          <w:ilvl w:val="0"/>
          <w:numId w:val="11"/>
        </w:numPr>
        <w:rPr>
          <w:rFonts w:ascii="Calibri" w:hAnsi="Calibri"/>
          <w:sz w:val="18"/>
        </w:rPr>
      </w:pPr>
      <w:r w:rsidRPr="002B7D90">
        <w:rPr>
          <w:rFonts w:ascii="Calibri" w:hAnsi="Calibri"/>
          <w:sz w:val="22"/>
          <w:szCs w:val="18"/>
        </w:rPr>
        <w:lastRenderedPageBreak/>
        <w:t>Law enforcement officer has a specific definition, see Law Enforcement section or see § 1300.05(b).</w:t>
      </w:r>
    </w:p>
    <w:p w:rsidR="00637045" w:rsidRPr="002B7D90" w:rsidRDefault="00637045" w:rsidP="00995F9C">
      <w:pPr>
        <w:numPr>
          <w:ilvl w:val="0"/>
          <w:numId w:val="11"/>
        </w:numPr>
        <w:rPr>
          <w:rFonts w:ascii="Calibri" w:hAnsi="Calibri"/>
          <w:sz w:val="22"/>
        </w:rPr>
      </w:pPr>
      <w:r w:rsidRPr="002B7D90">
        <w:rPr>
          <w:rFonts w:ascii="Calibri" w:hAnsi="Calibri"/>
          <w:sz w:val="22"/>
        </w:rPr>
        <w:t xml:space="preserve">The rule is silent on methods to </w:t>
      </w:r>
      <w:r w:rsidRPr="002B7D90">
        <w:rPr>
          <w:rFonts w:ascii="Calibri" w:hAnsi="Calibri"/>
          <w:b/>
          <w:sz w:val="22"/>
        </w:rPr>
        <w:t>protect confidentiality of patient information</w:t>
      </w:r>
      <w:r w:rsidRPr="002B7D90">
        <w:rPr>
          <w:rFonts w:ascii="Calibri" w:hAnsi="Calibri"/>
          <w:sz w:val="22"/>
        </w:rPr>
        <w:t xml:space="preserve"> on packaging (i.e., HIPAA protections)</w:t>
      </w:r>
      <w:proofErr w:type="gramStart"/>
      <w:r w:rsidRPr="002B7D90">
        <w:rPr>
          <w:rFonts w:ascii="Calibri" w:hAnsi="Calibri"/>
          <w:sz w:val="22"/>
        </w:rPr>
        <w:t>,</w:t>
      </w:r>
      <w:proofErr w:type="gramEnd"/>
      <w:r w:rsidRPr="002B7D90">
        <w:rPr>
          <w:rFonts w:ascii="Calibri" w:hAnsi="Calibri"/>
          <w:sz w:val="22"/>
        </w:rPr>
        <w:t xml:space="preserve"> therefore best practices already in place at existing take-back programs can be utilized. Provisions prohibiting any inventorying of collected medicines also serve to protect patient information.</w:t>
      </w:r>
    </w:p>
    <w:p w:rsidR="00637045" w:rsidRPr="002B7D90" w:rsidRDefault="00637045" w:rsidP="009F1458">
      <w:pPr>
        <w:pStyle w:val="ListParagraph"/>
        <w:ind w:left="0"/>
        <w:rPr>
          <w:rFonts w:ascii="Calibri" w:hAnsi="Calibri"/>
          <w:color w:val="00B050"/>
          <w:sz w:val="22"/>
        </w:rPr>
      </w:pPr>
    </w:p>
    <w:p w:rsidR="00637045" w:rsidRPr="002B7D90" w:rsidRDefault="00637045" w:rsidP="009F1458">
      <w:pPr>
        <w:pStyle w:val="ListParagraph"/>
        <w:ind w:left="0"/>
        <w:rPr>
          <w:rFonts w:ascii="Calibri" w:hAnsi="Calibri"/>
          <w:b/>
          <w:sz w:val="22"/>
        </w:rPr>
      </w:pPr>
      <w:r w:rsidRPr="002B7D90">
        <w:rPr>
          <w:rFonts w:ascii="Calibri" w:hAnsi="Calibri"/>
          <w:b/>
          <w:sz w:val="22"/>
        </w:rPr>
        <w:t xml:space="preserve">Collectors who may be authorized by the DEA </w:t>
      </w:r>
      <w:r w:rsidRPr="002B7D90">
        <w:rPr>
          <w:rFonts w:ascii="Calibri" w:hAnsi="Calibri"/>
          <w:sz w:val="22"/>
        </w:rPr>
        <w:t>(excludes Law Enforcement, see below)</w:t>
      </w:r>
    </w:p>
    <w:p w:rsidR="00637045" w:rsidRPr="002B7D90" w:rsidRDefault="00637045" w:rsidP="00372EC8">
      <w:pPr>
        <w:pStyle w:val="ListParagraph"/>
        <w:numPr>
          <w:ilvl w:val="0"/>
          <w:numId w:val="12"/>
        </w:numPr>
        <w:rPr>
          <w:rFonts w:ascii="Calibri" w:hAnsi="Calibri"/>
          <w:sz w:val="22"/>
        </w:rPr>
      </w:pPr>
      <w:r w:rsidRPr="002B7D90">
        <w:rPr>
          <w:rFonts w:ascii="Calibri" w:hAnsi="Calibri"/>
          <w:sz w:val="22"/>
        </w:rPr>
        <w:t xml:space="preserve">The following </w:t>
      </w:r>
      <w:r w:rsidRPr="002B7D90">
        <w:rPr>
          <w:rFonts w:ascii="Calibri" w:hAnsi="Calibri"/>
          <w:b/>
          <w:sz w:val="22"/>
        </w:rPr>
        <w:t>existing DEA registrants</w:t>
      </w:r>
      <w:r w:rsidRPr="002B7D90">
        <w:rPr>
          <w:rFonts w:ascii="Calibri" w:hAnsi="Calibri"/>
          <w:sz w:val="22"/>
        </w:rPr>
        <w:t xml:space="preserve"> can amend their registration with the DEA to become a “collector” </w:t>
      </w:r>
      <w:r w:rsidRPr="002B7D90">
        <w:rPr>
          <w:rFonts w:ascii="Calibri" w:hAnsi="Calibri"/>
          <w:sz w:val="18"/>
        </w:rPr>
        <w:t xml:space="preserve">[§ 1300.01(b) and § 1317.40] </w:t>
      </w:r>
      <w:r w:rsidRPr="002B7D90">
        <w:rPr>
          <w:rFonts w:ascii="Calibri" w:hAnsi="Calibri"/>
          <w:sz w:val="22"/>
        </w:rPr>
        <w:t>of CSs:</w:t>
      </w:r>
    </w:p>
    <w:p w:rsidR="00637045" w:rsidRPr="002B7D90" w:rsidRDefault="00637045" w:rsidP="00372EC8">
      <w:pPr>
        <w:numPr>
          <w:ilvl w:val="1"/>
          <w:numId w:val="11"/>
        </w:numPr>
        <w:rPr>
          <w:rFonts w:ascii="Calibri" w:hAnsi="Calibri"/>
          <w:sz w:val="22"/>
        </w:rPr>
      </w:pPr>
      <w:r w:rsidRPr="002B7D90">
        <w:rPr>
          <w:rFonts w:ascii="Calibri" w:hAnsi="Calibri"/>
          <w:b/>
          <w:sz w:val="22"/>
        </w:rPr>
        <w:t>drug manufacturers</w:t>
      </w:r>
      <w:r w:rsidRPr="002B7D90">
        <w:rPr>
          <w:rFonts w:ascii="Calibri" w:hAnsi="Calibri"/>
          <w:sz w:val="22"/>
        </w:rPr>
        <w:t>,</w:t>
      </w:r>
    </w:p>
    <w:p w:rsidR="00637045" w:rsidRPr="002B7D90" w:rsidRDefault="00637045" w:rsidP="00372EC8">
      <w:pPr>
        <w:numPr>
          <w:ilvl w:val="1"/>
          <w:numId w:val="11"/>
        </w:numPr>
        <w:rPr>
          <w:rFonts w:ascii="Calibri" w:hAnsi="Calibri"/>
          <w:sz w:val="22"/>
        </w:rPr>
      </w:pPr>
      <w:r w:rsidRPr="002B7D90">
        <w:rPr>
          <w:rFonts w:ascii="Calibri" w:hAnsi="Calibri"/>
          <w:b/>
          <w:sz w:val="22"/>
        </w:rPr>
        <w:t>drug distributors</w:t>
      </w:r>
      <w:r w:rsidRPr="002B7D90">
        <w:rPr>
          <w:rFonts w:ascii="Calibri" w:hAnsi="Calibri"/>
          <w:sz w:val="22"/>
        </w:rPr>
        <w:t>,</w:t>
      </w:r>
    </w:p>
    <w:p w:rsidR="00637045" w:rsidRPr="002B7D90" w:rsidRDefault="00637045" w:rsidP="00372EC8">
      <w:pPr>
        <w:numPr>
          <w:ilvl w:val="1"/>
          <w:numId w:val="11"/>
        </w:numPr>
        <w:rPr>
          <w:rFonts w:ascii="Calibri" w:hAnsi="Calibri"/>
          <w:sz w:val="22"/>
        </w:rPr>
      </w:pPr>
      <w:r w:rsidRPr="002B7D90">
        <w:rPr>
          <w:rFonts w:ascii="Calibri" w:hAnsi="Calibri"/>
          <w:b/>
          <w:sz w:val="22"/>
        </w:rPr>
        <w:t>reverse distributors</w:t>
      </w:r>
      <w:r w:rsidRPr="002B7D90">
        <w:rPr>
          <w:rFonts w:ascii="Calibri" w:hAnsi="Calibri"/>
          <w:sz w:val="22"/>
        </w:rPr>
        <w:t>,</w:t>
      </w:r>
    </w:p>
    <w:p w:rsidR="00637045" w:rsidRPr="002B7D90" w:rsidRDefault="00637045" w:rsidP="00372EC8">
      <w:pPr>
        <w:numPr>
          <w:ilvl w:val="1"/>
          <w:numId w:val="11"/>
        </w:numPr>
        <w:rPr>
          <w:rFonts w:ascii="Calibri" w:hAnsi="Calibri"/>
          <w:sz w:val="22"/>
        </w:rPr>
      </w:pPr>
      <w:r w:rsidRPr="002B7D90">
        <w:rPr>
          <w:rFonts w:ascii="Calibri" w:hAnsi="Calibri"/>
          <w:b/>
          <w:sz w:val="22"/>
        </w:rPr>
        <w:t>narcotic treatment program,</w:t>
      </w:r>
    </w:p>
    <w:p w:rsidR="00637045" w:rsidRPr="002B7D90" w:rsidRDefault="00637045" w:rsidP="003C2842">
      <w:pPr>
        <w:pStyle w:val="ListParagraph"/>
        <w:numPr>
          <w:ilvl w:val="1"/>
          <w:numId w:val="11"/>
        </w:numPr>
        <w:autoSpaceDE w:val="0"/>
        <w:autoSpaceDN w:val="0"/>
        <w:adjustRightInd w:val="0"/>
        <w:rPr>
          <w:rFonts w:ascii="Calibri" w:hAnsi="Calibri" w:cs="Melior"/>
          <w:sz w:val="22"/>
          <w:szCs w:val="18"/>
        </w:rPr>
      </w:pPr>
      <w:proofErr w:type="gramStart"/>
      <w:r w:rsidRPr="002B7D90">
        <w:rPr>
          <w:rFonts w:ascii="Calibri" w:hAnsi="Calibri"/>
          <w:b/>
          <w:sz w:val="22"/>
        </w:rPr>
        <w:t>hospital/clinic</w:t>
      </w:r>
      <w:proofErr w:type="gramEnd"/>
      <w:r w:rsidRPr="002B7D90">
        <w:rPr>
          <w:rFonts w:ascii="Calibri" w:hAnsi="Calibri"/>
          <w:b/>
          <w:sz w:val="22"/>
        </w:rPr>
        <w:t xml:space="preserve"> with an on-site pharmacy,</w:t>
      </w:r>
      <w:r w:rsidRPr="002B7D90">
        <w:rPr>
          <w:rFonts w:ascii="Calibri" w:hAnsi="Calibri" w:cs="Melior"/>
          <w:sz w:val="18"/>
          <w:szCs w:val="18"/>
        </w:rPr>
        <w:t xml:space="preserve"> </w:t>
      </w:r>
      <w:r w:rsidRPr="002B7D90">
        <w:rPr>
          <w:rFonts w:ascii="Calibri" w:hAnsi="Calibri" w:cs="Melior"/>
          <w:sz w:val="22"/>
          <w:szCs w:val="18"/>
        </w:rPr>
        <w:t xml:space="preserve">i.e. a pharmacy located on the physical premises of the registrant’s registered location </w:t>
      </w:r>
      <w:r w:rsidRPr="002B7D90">
        <w:rPr>
          <w:rFonts w:ascii="Calibri" w:hAnsi="Calibri" w:cs="Melior"/>
          <w:sz w:val="18"/>
          <w:szCs w:val="18"/>
        </w:rPr>
        <w:t>[§ 1300.05(b)(3)]</w:t>
      </w:r>
      <w:r w:rsidRPr="002B7D90">
        <w:rPr>
          <w:rFonts w:ascii="Calibri" w:hAnsi="Calibri" w:cs="Melior"/>
          <w:sz w:val="22"/>
          <w:szCs w:val="18"/>
        </w:rPr>
        <w:t>.</w:t>
      </w:r>
    </w:p>
    <w:p w:rsidR="00637045" w:rsidRPr="002B7D90" w:rsidRDefault="00637045" w:rsidP="00372EC8">
      <w:pPr>
        <w:numPr>
          <w:ilvl w:val="1"/>
          <w:numId w:val="11"/>
        </w:numPr>
        <w:rPr>
          <w:rFonts w:ascii="Calibri" w:hAnsi="Calibri"/>
          <w:sz w:val="22"/>
        </w:rPr>
      </w:pPr>
      <w:proofErr w:type="gramStart"/>
      <w:r w:rsidRPr="002B7D90">
        <w:rPr>
          <w:rFonts w:ascii="Calibri" w:hAnsi="Calibri"/>
          <w:b/>
          <w:sz w:val="22"/>
        </w:rPr>
        <w:t>retail</w:t>
      </w:r>
      <w:proofErr w:type="gramEnd"/>
      <w:r w:rsidRPr="002B7D90">
        <w:rPr>
          <w:rFonts w:ascii="Calibri" w:hAnsi="Calibri"/>
          <w:b/>
          <w:sz w:val="22"/>
        </w:rPr>
        <w:t xml:space="preserve"> pharmacies</w:t>
      </w:r>
      <w:r w:rsidRPr="002B7D90">
        <w:rPr>
          <w:rFonts w:ascii="Calibri" w:hAnsi="Calibri"/>
          <w:sz w:val="22"/>
        </w:rPr>
        <w:t>.</w:t>
      </w:r>
    </w:p>
    <w:p w:rsidR="00637045" w:rsidRPr="002B7D90" w:rsidRDefault="00637045" w:rsidP="003E3F3C">
      <w:pPr>
        <w:pStyle w:val="ListParagraph"/>
        <w:numPr>
          <w:ilvl w:val="0"/>
          <w:numId w:val="11"/>
        </w:numPr>
        <w:spacing w:after="200" w:line="276" w:lineRule="auto"/>
        <w:rPr>
          <w:rFonts w:ascii="Calibri" w:hAnsi="Calibri"/>
          <w:sz w:val="22"/>
        </w:rPr>
      </w:pPr>
      <w:r w:rsidRPr="002B7D90">
        <w:rPr>
          <w:rFonts w:ascii="Calibri" w:hAnsi="Calibri"/>
          <w:sz w:val="22"/>
        </w:rPr>
        <w:t xml:space="preserve">A registrant listed above may send a written request to DEA to modify its existing registration to be designated as a collector No fee is required. Authorized collectors must also provide written notification to DEA if they stop collecting controlled substances. Written notification may be provided online at </w:t>
      </w:r>
      <w:hyperlink r:id="rId11" w:history="1">
        <w:r w:rsidRPr="002B7D90">
          <w:rPr>
            <w:rStyle w:val="Hyperlink"/>
            <w:rFonts w:ascii="Calibri" w:hAnsi="Calibri"/>
            <w:color w:val="auto"/>
            <w:sz w:val="22"/>
          </w:rPr>
          <w:t>www.DEAdiversion.usdoj.gov</w:t>
        </w:r>
      </w:hyperlink>
      <w:r w:rsidRPr="002B7D90">
        <w:rPr>
          <w:rFonts w:ascii="Calibri" w:hAnsi="Calibri"/>
          <w:sz w:val="22"/>
        </w:rPr>
        <w:t xml:space="preserve"> or by mail.</w:t>
      </w:r>
      <w:r w:rsidRPr="002B7D90">
        <w:rPr>
          <w:rFonts w:ascii="Calibri" w:hAnsi="Calibri"/>
          <w:sz w:val="18"/>
          <w:szCs w:val="18"/>
        </w:rPr>
        <w:t xml:space="preserve"> [§ 1301.51]</w:t>
      </w:r>
      <w:r w:rsidRPr="002B7D90">
        <w:rPr>
          <w:rFonts w:ascii="Calibri" w:hAnsi="Calibri"/>
          <w:sz w:val="22"/>
        </w:rPr>
        <w:t xml:space="preserve">.  </w:t>
      </w:r>
    </w:p>
    <w:p w:rsidR="00637045" w:rsidRPr="002B7D90" w:rsidRDefault="00637045" w:rsidP="003E3F3C">
      <w:pPr>
        <w:pStyle w:val="ListParagraph"/>
        <w:numPr>
          <w:ilvl w:val="0"/>
          <w:numId w:val="11"/>
        </w:numPr>
        <w:spacing w:after="200" w:line="276" w:lineRule="auto"/>
        <w:rPr>
          <w:rFonts w:ascii="Calibri" w:hAnsi="Calibri"/>
          <w:sz w:val="22"/>
        </w:rPr>
      </w:pPr>
      <w:r w:rsidRPr="002B7D90">
        <w:rPr>
          <w:rFonts w:ascii="Calibri" w:hAnsi="Calibri"/>
          <w:sz w:val="22"/>
        </w:rPr>
        <w:t xml:space="preserve">In addition, as noted below, </w:t>
      </w:r>
      <w:r>
        <w:rPr>
          <w:rFonts w:ascii="Calibri" w:hAnsi="Calibri"/>
          <w:sz w:val="22"/>
        </w:rPr>
        <w:t>law enforcement</w:t>
      </w:r>
      <w:r w:rsidRPr="002B7D90">
        <w:rPr>
          <w:rFonts w:ascii="Calibri" w:hAnsi="Calibri"/>
          <w:sz w:val="22"/>
        </w:rPr>
        <w:t xml:space="preserve"> </w:t>
      </w:r>
      <w:r>
        <w:rPr>
          <w:rFonts w:ascii="Calibri" w:hAnsi="Calibri"/>
          <w:sz w:val="22"/>
        </w:rPr>
        <w:t>is</w:t>
      </w:r>
      <w:r w:rsidRPr="002B7D90">
        <w:rPr>
          <w:rFonts w:ascii="Calibri" w:hAnsi="Calibri"/>
          <w:sz w:val="22"/>
        </w:rPr>
        <w:t xml:space="preserve"> already authorized to handle CSs and therefore </w:t>
      </w:r>
      <w:proofErr w:type="gramStart"/>
      <w:r w:rsidRPr="002B7D90">
        <w:rPr>
          <w:rFonts w:ascii="Calibri" w:hAnsi="Calibri"/>
          <w:sz w:val="22"/>
        </w:rPr>
        <w:t>are</w:t>
      </w:r>
      <w:proofErr w:type="gramEnd"/>
      <w:r w:rsidRPr="002B7D90">
        <w:rPr>
          <w:rFonts w:ascii="Calibri" w:hAnsi="Calibri"/>
          <w:sz w:val="22"/>
        </w:rPr>
        <w:t xml:space="preserve"> not included in the “collector” definition.  See Law Enforcement section below for separate requirements for law enforcement programs. </w:t>
      </w:r>
    </w:p>
    <w:p w:rsidR="00637045" w:rsidRPr="002B7D90" w:rsidRDefault="00637045" w:rsidP="003E3F3C">
      <w:pPr>
        <w:pStyle w:val="ListParagraph"/>
        <w:numPr>
          <w:ilvl w:val="0"/>
          <w:numId w:val="11"/>
        </w:numPr>
        <w:spacing w:after="200" w:line="276" w:lineRule="auto"/>
        <w:rPr>
          <w:rFonts w:ascii="Calibri" w:hAnsi="Calibri"/>
          <w:sz w:val="18"/>
        </w:rPr>
      </w:pPr>
      <w:r w:rsidRPr="002B7D90">
        <w:rPr>
          <w:rFonts w:ascii="Calibri" w:hAnsi="Calibri"/>
          <w:sz w:val="22"/>
        </w:rPr>
        <w:t xml:space="preserve">Only specific existing DEA registrants can be authorized to serve as collectors. Non-registrants such as government entities, HHW collection facilities, and community centers, cannot serve as authorized collectors for controlled substances. </w:t>
      </w:r>
      <w:r w:rsidRPr="002B7D90">
        <w:rPr>
          <w:rFonts w:ascii="Calibri" w:hAnsi="Calibri"/>
          <w:sz w:val="18"/>
        </w:rPr>
        <w:t>[Federal Register 79 (174): on page 53530, column 1, Issue 1.]</w:t>
      </w:r>
    </w:p>
    <w:p w:rsidR="00637045" w:rsidRPr="002B7D90" w:rsidRDefault="00637045" w:rsidP="001A3456">
      <w:pPr>
        <w:pStyle w:val="ListParagraph"/>
        <w:numPr>
          <w:ilvl w:val="0"/>
          <w:numId w:val="11"/>
        </w:numPr>
        <w:spacing w:after="200" w:line="276" w:lineRule="auto"/>
        <w:rPr>
          <w:rFonts w:ascii="Calibri" w:hAnsi="Calibri"/>
          <w:sz w:val="22"/>
        </w:rPr>
      </w:pPr>
      <w:r w:rsidRPr="002B7D90">
        <w:rPr>
          <w:rFonts w:ascii="Calibri" w:hAnsi="Calibri"/>
          <w:sz w:val="22"/>
        </w:rPr>
        <w:t>DEA’s rule narrative notes the current number of potential collectors as follows:</w:t>
      </w:r>
    </w:p>
    <w:p w:rsidR="00637045" w:rsidRPr="002B7D90" w:rsidRDefault="00637045" w:rsidP="001A3456">
      <w:pPr>
        <w:pStyle w:val="ListParagraph"/>
        <w:numPr>
          <w:ilvl w:val="1"/>
          <w:numId w:val="11"/>
        </w:numPr>
        <w:spacing w:after="200" w:line="276" w:lineRule="auto"/>
        <w:rPr>
          <w:rFonts w:ascii="Calibri" w:hAnsi="Calibri"/>
          <w:sz w:val="22"/>
        </w:rPr>
      </w:pPr>
      <w:r w:rsidRPr="002B7D90">
        <w:rPr>
          <w:rFonts w:ascii="Calibri" w:hAnsi="Calibri"/>
          <w:sz w:val="22"/>
        </w:rPr>
        <w:t>Manufacturers – 536</w:t>
      </w:r>
    </w:p>
    <w:p w:rsidR="00637045" w:rsidRPr="002B7D90" w:rsidRDefault="00637045" w:rsidP="001A3456">
      <w:pPr>
        <w:pStyle w:val="ListParagraph"/>
        <w:numPr>
          <w:ilvl w:val="1"/>
          <w:numId w:val="11"/>
        </w:numPr>
        <w:spacing w:after="200" w:line="276" w:lineRule="auto"/>
        <w:rPr>
          <w:rFonts w:ascii="Calibri" w:hAnsi="Calibri"/>
          <w:sz w:val="22"/>
        </w:rPr>
      </w:pPr>
      <w:r w:rsidRPr="002B7D90">
        <w:rPr>
          <w:rFonts w:ascii="Calibri" w:hAnsi="Calibri"/>
          <w:sz w:val="22"/>
        </w:rPr>
        <w:t>Distributors – 829</w:t>
      </w:r>
    </w:p>
    <w:p w:rsidR="00637045" w:rsidRPr="002B7D90" w:rsidRDefault="00637045" w:rsidP="001A3456">
      <w:pPr>
        <w:pStyle w:val="ListParagraph"/>
        <w:numPr>
          <w:ilvl w:val="1"/>
          <w:numId w:val="11"/>
        </w:numPr>
        <w:spacing w:after="200" w:line="276" w:lineRule="auto"/>
        <w:rPr>
          <w:rFonts w:ascii="Calibri" w:hAnsi="Calibri"/>
          <w:sz w:val="22"/>
        </w:rPr>
      </w:pPr>
      <w:r w:rsidRPr="002B7D90">
        <w:rPr>
          <w:rFonts w:ascii="Calibri" w:hAnsi="Calibri"/>
          <w:sz w:val="22"/>
        </w:rPr>
        <w:t>Reverse Distributors – 60</w:t>
      </w:r>
    </w:p>
    <w:p w:rsidR="00637045" w:rsidRPr="002B7D90" w:rsidRDefault="00637045" w:rsidP="001A3456">
      <w:pPr>
        <w:pStyle w:val="ListParagraph"/>
        <w:numPr>
          <w:ilvl w:val="1"/>
          <w:numId w:val="11"/>
        </w:numPr>
        <w:spacing w:after="200" w:line="276" w:lineRule="auto"/>
        <w:rPr>
          <w:rFonts w:ascii="Calibri" w:hAnsi="Calibri"/>
          <w:sz w:val="22"/>
        </w:rPr>
      </w:pPr>
      <w:r w:rsidRPr="002B7D90">
        <w:rPr>
          <w:rFonts w:ascii="Calibri" w:hAnsi="Calibri"/>
          <w:sz w:val="22"/>
        </w:rPr>
        <w:t>Narcotic Treatment Programs – 1332</w:t>
      </w:r>
    </w:p>
    <w:p w:rsidR="00637045" w:rsidRPr="002B7D90" w:rsidRDefault="00637045" w:rsidP="001A3456">
      <w:pPr>
        <w:pStyle w:val="ListParagraph"/>
        <w:numPr>
          <w:ilvl w:val="1"/>
          <w:numId w:val="11"/>
        </w:numPr>
        <w:spacing w:after="200" w:line="276" w:lineRule="auto"/>
        <w:rPr>
          <w:rFonts w:ascii="Calibri" w:hAnsi="Calibri"/>
          <w:sz w:val="22"/>
        </w:rPr>
      </w:pPr>
      <w:r w:rsidRPr="002B7D90">
        <w:rPr>
          <w:rFonts w:ascii="Calibri" w:hAnsi="Calibri"/>
          <w:sz w:val="22"/>
        </w:rPr>
        <w:t>Hospitals/clinics with an On-Site Pharmacy – 15,953</w:t>
      </w:r>
    </w:p>
    <w:p w:rsidR="00637045" w:rsidRPr="002B7D90" w:rsidRDefault="00637045" w:rsidP="001A3456">
      <w:pPr>
        <w:pStyle w:val="ListParagraph"/>
        <w:numPr>
          <w:ilvl w:val="1"/>
          <w:numId w:val="11"/>
        </w:numPr>
        <w:spacing w:after="200" w:line="276" w:lineRule="auto"/>
        <w:rPr>
          <w:rFonts w:ascii="Calibri" w:hAnsi="Calibri"/>
          <w:sz w:val="22"/>
        </w:rPr>
      </w:pPr>
      <w:r w:rsidRPr="002B7D90">
        <w:rPr>
          <w:rFonts w:ascii="Calibri" w:hAnsi="Calibri"/>
          <w:sz w:val="22"/>
        </w:rPr>
        <w:t>Retail Pharmacies – 69,026</w:t>
      </w:r>
    </w:p>
    <w:p w:rsidR="00637045" w:rsidRPr="002B7D90" w:rsidRDefault="00637045" w:rsidP="00CA7378">
      <w:pPr>
        <w:spacing w:line="276" w:lineRule="auto"/>
        <w:rPr>
          <w:rFonts w:ascii="Calibri" w:hAnsi="Calibri"/>
          <w:sz w:val="22"/>
        </w:rPr>
      </w:pPr>
      <w:r w:rsidRPr="002B7D90">
        <w:rPr>
          <w:rFonts w:ascii="Calibri" w:hAnsi="Calibri"/>
          <w:b/>
          <w:sz w:val="22"/>
        </w:rPr>
        <w:t>General Procedures for all Collectors</w:t>
      </w:r>
      <w:r w:rsidRPr="002B7D90">
        <w:rPr>
          <w:rFonts w:ascii="Calibri" w:hAnsi="Calibri"/>
          <w:sz w:val="22"/>
        </w:rPr>
        <w:t xml:space="preserve"> (excludes Law Enforcement, see below)</w:t>
      </w:r>
    </w:p>
    <w:p w:rsidR="00637045" w:rsidRPr="002B7D90" w:rsidRDefault="00637045" w:rsidP="00D9508F">
      <w:pPr>
        <w:pStyle w:val="ListParagraph"/>
        <w:numPr>
          <w:ilvl w:val="0"/>
          <w:numId w:val="11"/>
        </w:numPr>
        <w:spacing w:after="200" w:line="276" w:lineRule="auto"/>
        <w:rPr>
          <w:rFonts w:ascii="Calibri" w:hAnsi="Calibri"/>
          <w:sz w:val="18"/>
        </w:rPr>
      </w:pPr>
      <w:r w:rsidRPr="002B7D90">
        <w:rPr>
          <w:rFonts w:ascii="Calibri" w:hAnsi="Calibri"/>
          <w:sz w:val="22"/>
        </w:rPr>
        <w:t xml:space="preserve">Collectors may only accept Schedule II-V controlled substances, not Schedule I drugs </w:t>
      </w:r>
      <w:r w:rsidRPr="002B7D90">
        <w:rPr>
          <w:rFonts w:ascii="Calibri" w:hAnsi="Calibri"/>
          <w:sz w:val="18"/>
        </w:rPr>
        <w:t>[§ 1317.70(b) and § 1317.75(b)]</w:t>
      </w:r>
      <w:r w:rsidRPr="002B7D90">
        <w:rPr>
          <w:rFonts w:ascii="Calibri" w:hAnsi="Calibri"/>
          <w:sz w:val="22"/>
        </w:rPr>
        <w:t xml:space="preserve">.  Collectors cannot dispose of inventory or stock of controlled substances in the collection receptacles or mail-back packages. </w:t>
      </w:r>
      <w:r w:rsidRPr="002B7D90">
        <w:rPr>
          <w:rFonts w:ascii="Calibri" w:hAnsi="Calibri" w:cs="Melior"/>
          <w:sz w:val="18"/>
        </w:rPr>
        <w:t>[§ 1317.05 and § 1317.75(b)]</w:t>
      </w:r>
    </w:p>
    <w:p w:rsidR="00637045" w:rsidRPr="002B7D90" w:rsidRDefault="00637045" w:rsidP="003322B7">
      <w:pPr>
        <w:pStyle w:val="ListParagraph"/>
        <w:numPr>
          <w:ilvl w:val="0"/>
          <w:numId w:val="11"/>
        </w:numPr>
        <w:spacing w:after="200" w:line="276" w:lineRule="auto"/>
        <w:rPr>
          <w:rFonts w:ascii="Calibri" w:hAnsi="Calibri"/>
          <w:color w:val="00B050"/>
          <w:sz w:val="18"/>
        </w:rPr>
      </w:pPr>
      <w:r w:rsidRPr="002B7D90">
        <w:rPr>
          <w:rFonts w:ascii="Calibri" w:hAnsi="Calibri"/>
          <w:b/>
          <w:sz w:val="22"/>
        </w:rPr>
        <w:t>Collectors cannot handle the controlled substances returned by ultimate users</w:t>
      </w:r>
      <w:r w:rsidRPr="002B7D90">
        <w:rPr>
          <w:rFonts w:ascii="Calibri" w:hAnsi="Calibri"/>
          <w:sz w:val="22"/>
        </w:rPr>
        <w:t xml:space="preserve"> before they are placed in the collection receptacle or mail-back package.  Only law enforcement can directly accept a controlled substance from an ultimate user. </w:t>
      </w:r>
      <w:r w:rsidRPr="002B7D90">
        <w:rPr>
          <w:rFonts w:ascii="Calibri" w:hAnsi="Calibri"/>
          <w:sz w:val="18"/>
        </w:rPr>
        <w:t>[§ 1317.75(c)] [Federal Register 79 (174) on page 53535, column 2, Issue 21; page 53540, column1, Issue 6; and page 53539, column 2, issue 3.]</w:t>
      </w:r>
    </w:p>
    <w:p w:rsidR="00637045" w:rsidRPr="002B7D90" w:rsidRDefault="00637045" w:rsidP="00614015">
      <w:pPr>
        <w:pStyle w:val="ListParagraph"/>
        <w:numPr>
          <w:ilvl w:val="0"/>
          <w:numId w:val="11"/>
        </w:numPr>
        <w:spacing w:line="276" w:lineRule="auto"/>
        <w:rPr>
          <w:rFonts w:ascii="Calibri" w:hAnsi="Calibri"/>
          <w:sz w:val="22"/>
        </w:rPr>
      </w:pPr>
      <w:r w:rsidRPr="002B7D90">
        <w:rPr>
          <w:rFonts w:ascii="Calibri" w:hAnsi="Calibri"/>
          <w:b/>
          <w:sz w:val="22"/>
        </w:rPr>
        <w:t xml:space="preserve">Sealed inner liners and mail-back packages containing collected drugs must be stored securely by authorized collectors </w:t>
      </w:r>
      <w:r w:rsidRPr="002B7D90">
        <w:rPr>
          <w:rFonts w:ascii="Calibri" w:hAnsi="Calibri"/>
          <w:b/>
          <w:sz w:val="18"/>
        </w:rPr>
        <w:t>[§ 1301.75(c)].</w:t>
      </w:r>
      <w:r w:rsidRPr="002B7D90">
        <w:rPr>
          <w:rFonts w:ascii="Calibri" w:hAnsi="Calibri"/>
          <w:sz w:val="18"/>
        </w:rPr>
        <w:t xml:space="preserve"> </w:t>
      </w:r>
      <w:r w:rsidRPr="002B7D90">
        <w:rPr>
          <w:rFonts w:ascii="Calibri" w:hAnsi="Calibri"/>
          <w:sz w:val="22"/>
        </w:rPr>
        <w:t xml:space="preserve">Practitioners and long-term care facilities must use a securely </w:t>
      </w:r>
      <w:r w:rsidRPr="002B7D90">
        <w:rPr>
          <w:rFonts w:ascii="Calibri" w:hAnsi="Calibri"/>
          <w:sz w:val="22"/>
        </w:rPr>
        <w:lastRenderedPageBreak/>
        <w:t xml:space="preserve">locked, substantially constructed cabinet or a securely locked room with controlled access </w:t>
      </w:r>
      <w:r w:rsidRPr="002B7D90">
        <w:rPr>
          <w:rFonts w:ascii="Calibri" w:hAnsi="Calibri"/>
          <w:sz w:val="18"/>
        </w:rPr>
        <w:t xml:space="preserve">[§ 1301.75(c) and § 1317.80(d)], </w:t>
      </w:r>
      <w:r w:rsidRPr="002B7D90">
        <w:rPr>
          <w:rFonts w:ascii="Calibri" w:hAnsi="Calibri"/>
          <w:sz w:val="22"/>
        </w:rPr>
        <w:t>and non-practitioners must use a storage area at a security level appropriate for Schedule II CSs</w:t>
      </w:r>
      <w:r w:rsidRPr="002B7D90">
        <w:rPr>
          <w:rFonts w:ascii="Calibri" w:hAnsi="Calibri"/>
          <w:b/>
          <w:sz w:val="22"/>
        </w:rPr>
        <w:t xml:space="preserve"> </w:t>
      </w:r>
      <w:r w:rsidRPr="002B7D90">
        <w:rPr>
          <w:rFonts w:ascii="Calibri" w:hAnsi="Calibri"/>
          <w:sz w:val="18"/>
          <w:szCs w:val="18"/>
        </w:rPr>
        <w:t>[§ 1317.05(c</w:t>
      </w:r>
      <w:proofErr w:type="gramStart"/>
      <w:r w:rsidRPr="002B7D90">
        <w:rPr>
          <w:rFonts w:ascii="Calibri" w:hAnsi="Calibri"/>
          <w:sz w:val="18"/>
          <w:szCs w:val="18"/>
        </w:rPr>
        <w:t>)(</w:t>
      </w:r>
      <w:proofErr w:type="gramEnd"/>
      <w:r w:rsidRPr="002B7D90">
        <w:rPr>
          <w:rFonts w:ascii="Calibri" w:hAnsi="Calibri"/>
          <w:sz w:val="18"/>
          <w:szCs w:val="18"/>
        </w:rPr>
        <w:t>1)(ii) and (c)(2)(ii)]</w:t>
      </w:r>
      <w:r w:rsidRPr="002B7D90">
        <w:rPr>
          <w:rFonts w:ascii="Calibri" w:hAnsi="Calibri"/>
          <w:sz w:val="22"/>
        </w:rPr>
        <w:t xml:space="preserve">.    </w:t>
      </w:r>
    </w:p>
    <w:p w:rsidR="00637045" w:rsidRPr="002B7D90" w:rsidRDefault="00637045" w:rsidP="00EC1378">
      <w:pPr>
        <w:pStyle w:val="ListParagraph"/>
        <w:numPr>
          <w:ilvl w:val="0"/>
          <w:numId w:val="11"/>
        </w:numPr>
        <w:spacing w:after="200" w:line="276" w:lineRule="auto"/>
        <w:rPr>
          <w:rFonts w:ascii="Calibri" w:hAnsi="Calibri"/>
          <w:sz w:val="22"/>
        </w:rPr>
      </w:pPr>
      <w:r w:rsidRPr="002B7D90">
        <w:rPr>
          <w:rFonts w:ascii="Calibri" w:hAnsi="Calibri"/>
          <w:sz w:val="22"/>
        </w:rPr>
        <w:t xml:space="preserve">Collectors shall either </w:t>
      </w:r>
      <w:r w:rsidRPr="002B7D90">
        <w:rPr>
          <w:rFonts w:ascii="Calibri" w:hAnsi="Calibri"/>
          <w:b/>
          <w:sz w:val="22"/>
        </w:rPr>
        <w:t>destroy the collected drugs on-site</w:t>
      </w:r>
      <w:r w:rsidRPr="002B7D90">
        <w:rPr>
          <w:rFonts w:ascii="Calibri" w:hAnsi="Calibri"/>
          <w:sz w:val="22"/>
        </w:rPr>
        <w:t xml:space="preserve"> </w:t>
      </w:r>
      <w:r w:rsidRPr="002B7D90">
        <w:rPr>
          <w:rFonts w:ascii="Calibri" w:hAnsi="Calibri"/>
          <w:sz w:val="18"/>
          <w:szCs w:val="18"/>
        </w:rPr>
        <w:t>[§ 1317.05(c)(1)(</w:t>
      </w:r>
      <w:proofErr w:type="spellStart"/>
      <w:r w:rsidRPr="002B7D90">
        <w:rPr>
          <w:rFonts w:ascii="Calibri" w:hAnsi="Calibri"/>
          <w:sz w:val="18"/>
          <w:szCs w:val="18"/>
        </w:rPr>
        <w:t>i</w:t>
      </w:r>
      <w:proofErr w:type="spellEnd"/>
      <w:r w:rsidRPr="002B7D90">
        <w:rPr>
          <w:rFonts w:ascii="Calibri" w:hAnsi="Calibri"/>
          <w:sz w:val="18"/>
          <w:szCs w:val="18"/>
        </w:rPr>
        <w:t>) and § 1317.05(c)(2)(</w:t>
      </w:r>
      <w:proofErr w:type="spellStart"/>
      <w:r w:rsidRPr="002B7D90">
        <w:rPr>
          <w:rFonts w:ascii="Calibri" w:hAnsi="Calibri"/>
          <w:sz w:val="18"/>
          <w:szCs w:val="18"/>
        </w:rPr>
        <w:t>i</w:t>
      </w:r>
      <w:proofErr w:type="spellEnd"/>
      <w:r w:rsidRPr="002B7D90">
        <w:rPr>
          <w:rFonts w:ascii="Calibri" w:hAnsi="Calibri"/>
          <w:sz w:val="18"/>
          <w:szCs w:val="18"/>
        </w:rPr>
        <w:t>)]</w:t>
      </w:r>
      <w:r w:rsidRPr="002B7D90">
        <w:rPr>
          <w:rFonts w:ascii="Calibri" w:hAnsi="Calibri"/>
          <w:sz w:val="22"/>
        </w:rPr>
        <w:t xml:space="preserve"> </w:t>
      </w:r>
      <w:r w:rsidRPr="002B7D90">
        <w:rPr>
          <w:rFonts w:ascii="Calibri" w:hAnsi="Calibri"/>
          <w:b/>
          <w:sz w:val="22"/>
        </w:rPr>
        <w:t>or transfer the drugs for final disposal</w:t>
      </w:r>
      <w:r w:rsidRPr="002B7D90">
        <w:rPr>
          <w:rFonts w:ascii="Calibri" w:hAnsi="Calibri"/>
          <w:sz w:val="22"/>
        </w:rPr>
        <w:t xml:space="preserve"> in one of the following ways:  </w:t>
      </w:r>
    </w:p>
    <w:p w:rsidR="00637045" w:rsidRPr="002B7D90" w:rsidRDefault="00637045" w:rsidP="00B52CE7">
      <w:pPr>
        <w:pStyle w:val="ListParagraph"/>
        <w:numPr>
          <w:ilvl w:val="1"/>
          <w:numId w:val="11"/>
        </w:numPr>
        <w:spacing w:after="200" w:line="276" w:lineRule="auto"/>
        <w:rPr>
          <w:rFonts w:ascii="Calibri" w:hAnsi="Calibri"/>
          <w:sz w:val="22"/>
        </w:rPr>
      </w:pPr>
      <w:r w:rsidRPr="002B7D90">
        <w:rPr>
          <w:rFonts w:ascii="Calibri" w:hAnsi="Calibri"/>
          <w:sz w:val="22"/>
        </w:rPr>
        <w:t xml:space="preserve">Practitioners, i.e. retail pharmacies and hospitals/clinics with on-site pharmacy, may transfer collected drugs for destruction </w:t>
      </w:r>
      <w:r w:rsidRPr="002B7D90">
        <w:rPr>
          <w:rFonts w:ascii="Calibri" w:hAnsi="Calibri"/>
          <w:sz w:val="18"/>
        </w:rPr>
        <w:t>[§ 117.05(c)(2)(iv)]</w:t>
      </w:r>
      <w:r w:rsidRPr="002B7D90">
        <w:rPr>
          <w:rFonts w:ascii="Calibri" w:hAnsi="Calibri"/>
          <w:sz w:val="22"/>
        </w:rPr>
        <w:t xml:space="preserve">: </w:t>
      </w:r>
    </w:p>
    <w:p w:rsidR="00637045" w:rsidRPr="002B7D90" w:rsidRDefault="00637045" w:rsidP="00E3025D">
      <w:pPr>
        <w:pStyle w:val="ListParagraph"/>
        <w:numPr>
          <w:ilvl w:val="2"/>
          <w:numId w:val="24"/>
        </w:numPr>
        <w:spacing w:after="200" w:line="276" w:lineRule="auto"/>
        <w:rPr>
          <w:rFonts w:ascii="Calibri" w:hAnsi="Calibri"/>
          <w:sz w:val="22"/>
        </w:rPr>
      </w:pPr>
      <w:r w:rsidRPr="002B7D90">
        <w:rPr>
          <w:rFonts w:ascii="Calibri" w:hAnsi="Calibri"/>
          <w:sz w:val="22"/>
        </w:rPr>
        <w:t xml:space="preserve">By prompt delivery using common or contract carrier to a reverse distributor’s or a distributor’s authorized location; or </w:t>
      </w:r>
    </w:p>
    <w:p w:rsidR="00637045" w:rsidRPr="002B7D90" w:rsidRDefault="00637045" w:rsidP="00E3025D">
      <w:pPr>
        <w:pStyle w:val="ListParagraph"/>
        <w:numPr>
          <w:ilvl w:val="2"/>
          <w:numId w:val="24"/>
        </w:numPr>
        <w:spacing w:after="200" w:line="276" w:lineRule="auto"/>
        <w:rPr>
          <w:rFonts w:ascii="Calibri" w:hAnsi="Calibri"/>
          <w:sz w:val="22"/>
        </w:rPr>
      </w:pPr>
      <w:r w:rsidRPr="002B7D90">
        <w:rPr>
          <w:rFonts w:ascii="Calibri" w:hAnsi="Calibri"/>
          <w:sz w:val="22"/>
        </w:rPr>
        <w:t>By pick-up at the authorized collection location by a reverse distributor or a distributor; or</w:t>
      </w:r>
    </w:p>
    <w:p w:rsidR="00637045" w:rsidRPr="002B7D90" w:rsidRDefault="00637045" w:rsidP="00E3025D">
      <w:pPr>
        <w:pStyle w:val="ListParagraph"/>
        <w:numPr>
          <w:ilvl w:val="2"/>
          <w:numId w:val="24"/>
        </w:numPr>
        <w:spacing w:line="276" w:lineRule="auto"/>
        <w:rPr>
          <w:rFonts w:ascii="Calibri" w:hAnsi="Calibri"/>
          <w:sz w:val="22"/>
        </w:rPr>
      </w:pPr>
      <w:r w:rsidRPr="002B7D90">
        <w:rPr>
          <w:rFonts w:ascii="Calibri" w:hAnsi="Calibri"/>
          <w:sz w:val="22"/>
        </w:rPr>
        <w:t xml:space="preserve">Request assistance from the DEA Special Agent in Charge in the practitioner’s area. </w:t>
      </w:r>
    </w:p>
    <w:p w:rsidR="00637045" w:rsidRPr="002B7D90" w:rsidRDefault="00637045" w:rsidP="00EC1378">
      <w:pPr>
        <w:numPr>
          <w:ilvl w:val="1"/>
          <w:numId w:val="11"/>
        </w:numPr>
        <w:rPr>
          <w:rFonts w:ascii="Calibri" w:hAnsi="Calibri"/>
          <w:sz w:val="22"/>
        </w:rPr>
      </w:pPr>
      <w:r w:rsidRPr="002B7D90">
        <w:rPr>
          <w:rFonts w:ascii="Calibri" w:hAnsi="Calibri"/>
          <w:sz w:val="22"/>
        </w:rPr>
        <w:t xml:space="preserve">Non-practitioners, i.e. manufacturers, distributor, reverse distributors, and narcotic treatment centers, may transfer collected drugs for destruction </w:t>
      </w:r>
      <w:r w:rsidRPr="002B7D90">
        <w:rPr>
          <w:rFonts w:ascii="Calibri" w:hAnsi="Calibri"/>
          <w:sz w:val="18"/>
        </w:rPr>
        <w:t>[§ 1317.05(c)(2)(v)]:</w:t>
      </w:r>
    </w:p>
    <w:p w:rsidR="00637045" w:rsidRPr="002B7D90" w:rsidRDefault="00637045" w:rsidP="00E3025D">
      <w:pPr>
        <w:pStyle w:val="ListParagraph"/>
        <w:numPr>
          <w:ilvl w:val="2"/>
          <w:numId w:val="11"/>
        </w:numPr>
        <w:spacing w:after="200" w:line="276" w:lineRule="auto"/>
        <w:rPr>
          <w:rFonts w:ascii="Calibri" w:hAnsi="Calibri"/>
          <w:sz w:val="22"/>
        </w:rPr>
      </w:pPr>
      <w:r w:rsidRPr="002B7D90">
        <w:rPr>
          <w:rFonts w:ascii="Calibri" w:hAnsi="Calibri"/>
          <w:sz w:val="22"/>
        </w:rPr>
        <w:t xml:space="preserve">By prompt delivery, using common or contract carrier to a reverse distributor’s or a distributor’s authorized location; or </w:t>
      </w:r>
    </w:p>
    <w:p w:rsidR="00637045" w:rsidRPr="002B7D90" w:rsidRDefault="00637045" w:rsidP="00A00CEF">
      <w:pPr>
        <w:pStyle w:val="ListParagraph"/>
        <w:numPr>
          <w:ilvl w:val="2"/>
          <w:numId w:val="11"/>
        </w:numPr>
        <w:spacing w:line="276" w:lineRule="auto"/>
        <w:rPr>
          <w:rFonts w:ascii="Calibri" w:hAnsi="Calibri"/>
          <w:sz w:val="22"/>
        </w:rPr>
      </w:pPr>
      <w:r w:rsidRPr="002B7D90">
        <w:rPr>
          <w:rFonts w:ascii="Calibri" w:hAnsi="Calibri"/>
          <w:sz w:val="22"/>
        </w:rPr>
        <w:t>By pick-up at the authorized collection location by a reverse distributor or a distributor.</w:t>
      </w:r>
    </w:p>
    <w:p w:rsidR="00637045" w:rsidRPr="002B7D90" w:rsidRDefault="00637045" w:rsidP="00A00CEF">
      <w:pPr>
        <w:numPr>
          <w:ilvl w:val="2"/>
          <w:numId w:val="11"/>
        </w:numPr>
        <w:rPr>
          <w:rFonts w:ascii="Calibri" w:hAnsi="Calibri"/>
          <w:sz w:val="22"/>
        </w:rPr>
      </w:pPr>
      <w:r w:rsidRPr="002B7D90">
        <w:rPr>
          <w:rFonts w:ascii="Calibri" w:hAnsi="Calibri"/>
          <w:sz w:val="22"/>
        </w:rPr>
        <w:t xml:space="preserve">By prompt transportation by the authorized collector's own means to a reverse distributor or location for destruction. Transportation by a collector’s own means shall include two authorized employees at all stages: loading, transport, unloading, </w:t>
      </w:r>
      <w:proofErr w:type="gramStart"/>
      <w:r w:rsidRPr="002B7D90">
        <w:rPr>
          <w:rFonts w:ascii="Calibri" w:hAnsi="Calibri"/>
          <w:sz w:val="22"/>
        </w:rPr>
        <w:t>handling</w:t>
      </w:r>
      <w:proofErr w:type="gramEnd"/>
      <w:r w:rsidRPr="002B7D90">
        <w:rPr>
          <w:rFonts w:ascii="Calibri" w:hAnsi="Calibri"/>
          <w:sz w:val="22"/>
        </w:rPr>
        <w:t xml:space="preserve">. </w:t>
      </w:r>
      <w:r w:rsidRPr="002B7D90">
        <w:rPr>
          <w:rFonts w:ascii="Calibri" w:hAnsi="Calibri"/>
          <w:sz w:val="18"/>
          <w:szCs w:val="18"/>
        </w:rPr>
        <w:t>[§ 1317.05(b)(4)]</w:t>
      </w:r>
    </w:p>
    <w:p w:rsidR="00637045" w:rsidRPr="002B7D90" w:rsidRDefault="00637045" w:rsidP="008D2C2D">
      <w:pPr>
        <w:pStyle w:val="ListParagraph"/>
        <w:numPr>
          <w:ilvl w:val="2"/>
          <w:numId w:val="11"/>
        </w:numPr>
        <w:spacing w:line="276" w:lineRule="auto"/>
        <w:rPr>
          <w:rFonts w:ascii="Calibri" w:hAnsi="Calibri"/>
          <w:sz w:val="22"/>
        </w:rPr>
      </w:pPr>
      <w:r w:rsidRPr="002B7D90">
        <w:rPr>
          <w:rFonts w:ascii="Calibri" w:hAnsi="Calibri"/>
          <w:sz w:val="22"/>
        </w:rPr>
        <w:t>Freight forwarding facilities may not be used to transfer sealed inner liners.</w:t>
      </w:r>
    </w:p>
    <w:p w:rsidR="00637045" w:rsidRPr="002B7D90" w:rsidRDefault="00637045" w:rsidP="00074292">
      <w:pPr>
        <w:numPr>
          <w:ilvl w:val="0"/>
          <w:numId w:val="11"/>
        </w:numPr>
        <w:rPr>
          <w:rFonts w:ascii="Calibri" w:hAnsi="Calibri"/>
          <w:b/>
          <w:sz w:val="22"/>
        </w:rPr>
      </w:pPr>
      <w:r w:rsidRPr="002B7D90">
        <w:rPr>
          <w:rFonts w:ascii="Calibri" w:hAnsi="Calibri"/>
          <w:b/>
          <w:sz w:val="22"/>
        </w:rPr>
        <w:t xml:space="preserve">Record-keeping for all collectors </w:t>
      </w:r>
      <w:r w:rsidRPr="002B7D90">
        <w:rPr>
          <w:rFonts w:ascii="Calibri" w:hAnsi="Calibri"/>
          <w:sz w:val="18"/>
        </w:rPr>
        <w:t>[§ 1304.22(f)].</w:t>
      </w:r>
      <w:r w:rsidRPr="002B7D90">
        <w:rPr>
          <w:rFonts w:ascii="Calibri" w:hAnsi="Calibri"/>
          <w:b/>
          <w:sz w:val="18"/>
        </w:rPr>
        <w:t xml:space="preserve">  </w:t>
      </w:r>
      <w:r w:rsidRPr="002B7D90">
        <w:rPr>
          <w:rFonts w:ascii="Calibri" w:hAnsi="Calibri"/>
          <w:sz w:val="22"/>
        </w:rPr>
        <w:t xml:space="preserve">Collectors must keep an inventory of all inner liners and all mail-back packages and maintain records on use and destruction to account for disposal of CSs. </w:t>
      </w:r>
    </w:p>
    <w:p w:rsidR="00637045" w:rsidRPr="002B7D90" w:rsidRDefault="00637045" w:rsidP="00A63948">
      <w:pPr>
        <w:pStyle w:val="ListParagraph"/>
        <w:numPr>
          <w:ilvl w:val="0"/>
          <w:numId w:val="11"/>
        </w:numPr>
        <w:rPr>
          <w:rFonts w:ascii="Calibri" w:hAnsi="Calibri"/>
          <w:sz w:val="22"/>
        </w:rPr>
      </w:pPr>
      <w:r w:rsidRPr="002B7D90">
        <w:rPr>
          <w:rFonts w:ascii="Calibri" w:hAnsi="Calibri"/>
          <w:b/>
          <w:sz w:val="22"/>
        </w:rPr>
        <w:t>Timing of disposal of collected medicines.</w:t>
      </w:r>
      <w:r w:rsidRPr="002B7D90">
        <w:rPr>
          <w:rFonts w:ascii="Calibri" w:hAnsi="Calibri"/>
          <w:sz w:val="22"/>
        </w:rPr>
        <w:t xml:space="preserve">  Reverse distributors must destroy controlled substances received for the purposes of destruction within 30 days of receipt </w:t>
      </w:r>
      <w:r w:rsidRPr="002B7D90">
        <w:rPr>
          <w:rFonts w:ascii="Calibri" w:hAnsi="Calibri"/>
          <w:sz w:val="18"/>
        </w:rPr>
        <w:t>[§ 13</w:t>
      </w:r>
      <w:r w:rsidRPr="002B7D90">
        <w:rPr>
          <w:rFonts w:ascii="Calibri" w:hAnsi="Calibri" w:cs="Melior"/>
          <w:sz w:val="18"/>
        </w:rPr>
        <w:t xml:space="preserve">17.15(d)].  </w:t>
      </w:r>
      <w:r w:rsidRPr="002B7D90">
        <w:rPr>
          <w:rFonts w:ascii="Calibri" w:hAnsi="Calibri" w:cs="Melior"/>
          <w:sz w:val="22"/>
        </w:rPr>
        <w:t>Long-term care facilities cannot store sealed inner liners longer than 3 business days</w:t>
      </w:r>
      <w:r w:rsidRPr="002B7D90">
        <w:rPr>
          <w:rFonts w:ascii="Calibri" w:hAnsi="Calibri"/>
          <w:sz w:val="22"/>
        </w:rPr>
        <w:t xml:space="preserve">. </w:t>
      </w:r>
      <w:r w:rsidRPr="002B7D90">
        <w:rPr>
          <w:rFonts w:ascii="Calibri" w:hAnsi="Calibri"/>
          <w:sz w:val="18"/>
        </w:rPr>
        <w:t xml:space="preserve">[§ 1317.80(d)]  </w:t>
      </w:r>
      <w:r w:rsidRPr="002B7D90">
        <w:rPr>
          <w:rFonts w:ascii="Calibri" w:hAnsi="Calibri"/>
          <w:sz w:val="22"/>
        </w:rPr>
        <w:t xml:space="preserve">Otherwise, collectors must dispose of drugs in the sealed mail-back packages or inner liners “promptly”, which is not precisely defined by DEA to allow flexibility. </w:t>
      </w:r>
      <w:r w:rsidRPr="002B7D90">
        <w:rPr>
          <w:rFonts w:ascii="Calibri" w:hAnsi="Calibri"/>
          <w:sz w:val="18"/>
        </w:rPr>
        <w:t>[Federal Register 79 (174):on page 53528, column 3, Issue 12]</w:t>
      </w:r>
    </w:p>
    <w:p w:rsidR="00637045" w:rsidRPr="002B7D90" w:rsidRDefault="00637045" w:rsidP="0004259C">
      <w:pPr>
        <w:pStyle w:val="ListParagraph"/>
        <w:spacing w:after="200" w:line="276" w:lineRule="auto"/>
        <w:rPr>
          <w:rFonts w:ascii="Calibri" w:hAnsi="Calibri"/>
          <w:color w:val="00B050"/>
          <w:sz w:val="22"/>
        </w:rPr>
      </w:pPr>
    </w:p>
    <w:p w:rsidR="00637045" w:rsidRPr="002B7D90" w:rsidRDefault="00637045" w:rsidP="00083652">
      <w:pPr>
        <w:pStyle w:val="ListParagraph"/>
        <w:spacing w:after="200" w:line="276" w:lineRule="auto"/>
        <w:ind w:left="0"/>
        <w:rPr>
          <w:rFonts w:ascii="Calibri" w:hAnsi="Calibri"/>
          <w:b/>
          <w:sz w:val="22"/>
        </w:rPr>
      </w:pPr>
      <w:r w:rsidRPr="002B7D90">
        <w:rPr>
          <w:rFonts w:ascii="Calibri" w:hAnsi="Calibri"/>
          <w:b/>
          <w:sz w:val="22"/>
        </w:rPr>
        <w:t xml:space="preserve">Collection by </w:t>
      </w:r>
      <w:r>
        <w:rPr>
          <w:rFonts w:ascii="Calibri" w:hAnsi="Calibri"/>
          <w:b/>
          <w:sz w:val="22"/>
        </w:rPr>
        <w:t>Law Enforcement</w:t>
      </w:r>
      <w:r w:rsidRPr="002B7D90">
        <w:rPr>
          <w:rFonts w:ascii="Calibri" w:hAnsi="Calibri"/>
          <w:b/>
          <w:sz w:val="22"/>
        </w:rPr>
        <w:t xml:space="preserve"> </w:t>
      </w:r>
      <w:r w:rsidRPr="002B7D90">
        <w:rPr>
          <w:rFonts w:ascii="Calibri" w:hAnsi="Calibri"/>
          <w:b/>
          <w:sz w:val="18"/>
        </w:rPr>
        <w:t>[§ 1317.35]</w:t>
      </w:r>
    </w:p>
    <w:p w:rsidR="00637045" w:rsidRPr="002B7D90" w:rsidRDefault="00637045" w:rsidP="00AD2670">
      <w:pPr>
        <w:pStyle w:val="ListParagraph"/>
        <w:numPr>
          <w:ilvl w:val="0"/>
          <w:numId w:val="25"/>
        </w:numPr>
        <w:autoSpaceDE w:val="0"/>
        <w:autoSpaceDN w:val="0"/>
        <w:adjustRightInd w:val="0"/>
        <w:rPr>
          <w:rFonts w:ascii="Calibri" w:hAnsi="Calibri" w:cs="Melior"/>
          <w:sz w:val="22"/>
          <w:szCs w:val="18"/>
        </w:rPr>
      </w:pPr>
      <w:r w:rsidRPr="002B7D90">
        <w:rPr>
          <w:rFonts w:ascii="Calibri" w:hAnsi="Calibri"/>
          <w:sz w:val="22"/>
        </w:rPr>
        <w:t xml:space="preserve">Law enforcement can operate </w:t>
      </w:r>
      <w:r w:rsidRPr="002B7D90">
        <w:rPr>
          <w:rFonts w:ascii="Calibri" w:hAnsi="Calibri"/>
          <w:b/>
          <w:sz w:val="22"/>
        </w:rPr>
        <w:t>take-back events</w:t>
      </w:r>
      <w:r w:rsidRPr="002B7D90">
        <w:rPr>
          <w:rFonts w:ascii="Calibri" w:hAnsi="Calibri"/>
          <w:sz w:val="22"/>
        </w:rPr>
        <w:t xml:space="preserve">, </w:t>
      </w:r>
      <w:r w:rsidRPr="002B7D90">
        <w:rPr>
          <w:rFonts w:ascii="Calibri" w:hAnsi="Calibri"/>
          <w:b/>
          <w:sz w:val="22"/>
        </w:rPr>
        <w:t>mail-back</w:t>
      </w:r>
      <w:r w:rsidRPr="002B7D90">
        <w:rPr>
          <w:rFonts w:ascii="Calibri" w:hAnsi="Calibri"/>
          <w:sz w:val="22"/>
        </w:rPr>
        <w:t xml:space="preserve"> or </w:t>
      </w:r>
      <w:r w:rsidRPr="002B7D90">
        <w:rPr>
          <w:rFonts w:ascii="Calibri" w:hAnsi="Calibri"/>
          <w:b/>
          <w:sz w:val="22"/>
        </w:rPr>
        <w:t>collection receptacles</w:t>
      </w:r>
      <w:r w:rsidRPr="002B7D90">
        <w:rPr>
          <w:rFonts w:ascii="Calibri" w:hAnsi="Calibri"/>
          <w:sz w:val="22"/>
        </w:rPr>
        <w:t xml:space="preserve"> to collect CSs from ultimate users.  Law enforcement </w:t>
      </w:r>
      <w:r>
        <w:rPr>
          <w:rFonts w:ascii="Calibri" w:hAnsi="Calibri"/>
          <w:sz w:val="22"/>
        </w:rPr>
        <w:t>is</w:t>
      </w:r>
      <w:r w:rsidRPr="002B7D90">
        <w:rPr>
          <w:rFonts w:ascii="Calibri" w:hAnsi="Calibri"/>
          <w:sz w:val="22"/>
        </w:rPr>
        <w:t xml:space="preserve"> the only entit</w:t>
      </w:r>
      <w:r>
        <w:rPr>
          <w:rFonts w:ascii="Calibri" w:hAnsi="Calibri"/>
          <w:sz w:val="22"/>
        </w:rPr>
        <w:t>y</w:t>
      </w:r>
      <w:r w:rsidRPr="002B7D90">
        <w:rPr>
          <w:rFonts w:ascii="Calibri" w:hAnsi="Calibri"/>
          <w:sz w:val="22"/>
        </w:rPr>
        <w:t xml:space="preserve"> </w:t>
      </w:r>
      <w:proofErr w:type="gramStart"/>
      <w:r w:rsidRPr="002B7D90">
        <w:rPr>
          <w:rFonts w:ascii="Calibri" w:hAnsi="Calibri"/>
          <w:sz w:val="22"/>
        </w:rPr>
        <w:t>who</w:t>
      </w:r>
      <w:proofErr w:type="gramEnd"/>
      <w:r w:rsidRPr="002B7D90">
        <w:rPr>
          <w:rFonts w:ascii="Calibri" w:hAnsi="Calibri"/>
          <w:sz w:val="22"/>
        </w:rPr>
        <w:t xml:space="preserve"> may operate take-back events.</w:t>
      </w:r>
    </w:p>
    <w:p w:rsidR="00637045" w:rsidRPr="002B7D90" w:rsidRDefault="00637045" w:rsidP="00AD2670">
      <w:pPr>
        <w:pStyle w:val="ListParagraph"/>
        <w:numPr>
          <w:ilvl w:val="0"/>
          <w:numId w:val="25"/>
        </w:numPr>
        <w:autoSpaceDE w:val="0"/>
        <w:autoSpaceDN w:val="0"/>
        <w:adjustRightInd w:val="0"/>
        <w:rPr>
          <w:rFonts w:ascii="Calibri" w:hAnsi="Calibri" w:cs="Melior"/>
          <w:sz w:val="22"/>
          <w:szCs w:val="18"/>
        </w:rPr>
      </w:pPr>
      <w:r w:rsidRPr="002B7D90">
        <w:rPr>
          <w:rFonts w:ascii="Calibri" w:hAnsi="Calibri"/>
          <w:sz w:val="22"/>
        </w:rPr>
        <w:t>The rule is not intended to change established law enforcement agency procedures for handling, storage and transfer of CSs.</w:t>
      </w:r>
      <w:r w:rsidRPr="002B7D90">
        <w:rPr>
          <w:rFonts w:ascii="Calibri" w:hAnsi="Calibri" w:cs="Melior"/>
          <w:sz w:val="22"/>
          <w:szCs w:val="18"/>
        </w:rPr>
        <w:t xml:space="preserve"> </w:t>
      </w:r>
      <w:r>
        <w:rPr>
          <w:rFonts w:ascii="Calibri" w:hAnsi="Calibri" w:cs="Melior"/>
          <w:sz w:val="22"/>
          <w:szCs w:val="18"/>
        </w:rPr>
        <w:t>Law enforcement</w:t>
      </w:r>
      <w:r w:rsidRPr="002B7D90">
        <w:rPr>
          <w:rFonts w:ascii="Calibri" w:hAnsi="Calibri" w:cs="Melior"/>
          <w:sz w:val="22"/>
          <w:szCs w:val="18"/>
        </w:rPr>
        <w:t xml:space="preserve"> are not required to meet all the same requirements of other collectors for mail-back or collection receptacles. </w:t>
      </w:r>
    </w:p>
    <w:p w:rsidR="00637045" w:rsidRPr="002B7D90" w:rsidRDefault="00637045" w:rsidP="00F032F6">
      <w:pPr>
        <w:pStyle w:val="ListParagraph"/>
        <w:numPr>
          <w:ilvl w:val="0"/>
          <w:numId w:val="7"/>
        </w:numPr>
        <w:spacing w:after="200" w:line="276" w:lineRule="auto"/>
        <w:ind w:left="360"/>
        <w:rPr>
          <w:rFonts w:ascii="Calibri" w:hAnsi="Calibri"/>
          <w:sz w:val="22"/>
        </w:rPr>
      </w:pPr>
      <w:r w:rsidRPr="002B7D90">
        <w:rPr>
          <w:rFonts w:ascii="Calibri" w:hAnsi="Calibri"/>
          <w:sz w:val="22"/>
        </w:rPr>
        <w:t xml:space="preserve">Take-back events and mail-back programs provided by </w:t>
      </w:r>
      <w:r>
        <w:rPr>
          <w:rFonts w:ascii="Calibri" w:hAnsi="Calibri"/>
          <w:sz w:val="22"/>
        </w:rPr>
        <w:t>law enforcement</w:t>
      </w:r>
      <w:r w:rsidRPr="002B7D90">
        <w:rPr>
          <w:rFonts w:ascii="Calibri" w:hAnsi="Calibri"/>
          <w:sz w:val="22"/>
        </w:rPr>
        <w:t xml:space="preserve"> must be overseen by a </w:t>
      </w:r>
      <w:r w:rsidRPr="002B7D90">
        <w:rPr>
          <w:rFonts w:ascii="Calibri" w:hAnsi="Calibri"/>
          <w:b/>
          <w:sz w:val="22"/>
        </w:rPr>
        <w:t>law enforcement officer</w:t>
      </w:r>
      <w:r w:rsidRPr="002B7D90">
        <w:rPr>
          <w:rFonts w:ascii="Calibri" w:hAnsi="Calibri"/>
          <w:sz w:val="22"/>
        </w:rPr>
        <w:t>, which is defined in § 1300.05(b) as:</w:t>
      </w:r>
    </w:p>
    <w:p w:rsidR="00637045" w:rsidRPr="002B7D90" w:rsidRDefault="00637045" w:rsidP="00F032F6">
      <w:pPr>
        <w:pStyle w:val="ListParagraph"/>
        <w:numPr>
          <w:ilvl w:val="1"/>
          <w:numId w:val="26"/>
        </w:numPr>
        <w:ind w:left="1080"/>
        <w:rPr>
          <w:rFonts w:ascii="Calibri" w:hAnsi="Calibri"/>
          <w:sz w:val="22"/>
        </w:rPr>
      </w:pPr>
      <w:r w:rsidRPr="002B7D90">
        <w:rPr>
          <w:rFonts w:ascii="Calibri" w:hAnsi="Calibri"/>
          <w:sz w:val="22"/>
        </w:rPr>
        <w:t xml:space="preserve">An employee of a law enforcement agency or law enforcement component of a federal agency who is (1) under the discretion of a Federal, State, tribal, or local government, (2) acting in course of official duty, and (3) duly sworn to carry firearms, execute and serve warrants, make arrests without a warrant, and make seizures of property; or </w:t>
      </w:r>
    </w:p>
    <w:p w:rsidR="00637045" w:rsidRPr="002B7D90" w:rsidRDefault="00637045" w:rsidP="00F032F6">
      <w:pPr>
        <w:pStyle w:val="ListParagraph"/>
        <w:numPr>
          <w:ilvl w:val="1"/>
          <w:numId w:val="26"/>
        </w:numPr>
        <w:ind w:left="1080"/>
        <w:rPr>
          <w:rFonts w:ascii="Calibri" w:hAnsi="Calibri"/>
          <w:sz w:val="22"/>
        </w:rPr>
      </w:pPr>
      <w:r w:rsidRPr="002B7D90">
        <w:rPr>
          <w:rFonts w:ascii="Calibri" w:hAnsi="Calibri"/>
          <w:sz w:val="22"/>
        </w:rPr>
        <w:lastRenderedPageBreak/>
        <w:t>A Veterans Health Administration (VHA) police officer authorized by Dept. of Veterans Affairs to participate in VHA collection activities; or</w:t>
      </w:r>
    </w:p>
    <w:p w:rsidR="00637045" w:rsidRPr="002B7D90" w:rsidRDefault="00637045" w:rsidP="00F032F6">
      <w:pPr>
        <w:pStyle w:val="ListParagraph"/>
        <w:numPr>
          <w:ilvl w:val="1"/>
          <w:numId w:val="26"/>
        </w:numPr>
        <w:ind w:left="1080"/>
        <w:rPr>
          <w:rFonts w:ascii="Calibri" w:hAnsi="Calibri"/>
          <w:sz w:val="22"/>
        </w:rPr>
      </w:pPr>
      <w:r w:rsidRPr="002B7D90">
        <w:rPr>
          <w:rFonts w:ascii="Calibri" w:hAnsi="Calibri"/>
          <w:sz w:val="22"/>
        </w:rPr>
        <w:t>A Dept. of Defense (DOD) police officer authorized by DOD to participate in DOD collection activities.</w:t>
      </w:r>
    </w:p>
    <w:p w:rsidR="00637045" w:rsidRPr="002B7D90" w:rsidRDefault="00637045" w:rsidP="00083652">
      <w:pPr>
        <w:pStyle w:val="ListParagraph"/>
        <w:numPr>
          <w:ilvl w:val="0"/>
          <w:numId w:val="22"/>
        </w:numPr>
        <w:spacing w:after="200" w:line="276" w:lineRule="auto"/>
        <w:rPr>
          <w:rFonts w:ascii="Calibri" w:hAnsi="Calibri"/>
          <w:sz w:val="22"/>
        </w:rPr>
      </w:pPr>
      <w:r w:rsidRPr="002B7D90">
        <w:rPr>
          <w:rFonts w:ascii="Calibri" w:hAnsi="Calibri"/>
          <w:sz w:val="22"/>
        </w:rPr>
        <w:t xml:space="preserve">Record-keeping and storage by </w:t>
      </w:r>
      <w:r>
        <w:rPr>
          <w:rFonts w:ascii="Calibri" w:hAnsi="Calibri"/>
          <w:sz w:val="22"/>
        </w:rPr>
        <w:t>law enforcement</w:t>
      </w:r>
      <w:r w:rsidRPr="002B7D90">
        <w:rPr>
          <w:rFonts w:ascii="Calibri" w:hAnsi="Calibri"/>
          <w:sz w:val="22"/>
        </w:rPr>
        <w:t xml:space="preserve"> should be consistent with the agencies’ storage and record-keeping procedures for illicit (Schedule I) CSs, such as evidence.</w:t>
      </w:r>
    </w:p>
    <w:p w:rsidR="00637045" w:rsidRPr="002B7D90" w:rsidRDefault="00637045" w:rsidP="00A35F38">
      <w:pPr>
        <w:pStyle w:val="ListParagraph"/>
        <w:numPr>
          <w:ilvl w:val="0"/>
          <w:numId w:val="22"/>
        </w:numPr>
        <w:rPr>
          <w:rFonts w:ascii="Calibri" w:hAnsi="Calibri"/>
          <w:sz w:val="22"/>
        </w:rPr>
      </w:pPr>
      <w:r w:rsidRPr="002B7D90">
        <w:rPr>
          <w:rFonts w:ascii="Calibri" w:hAnsi="Calibri"/>
          <w:b/>
          <w:sz w:val="22"/>
        </w:rPr>
        <w:t>Destruction of controlled substances collected by law enforcement.</w:t>
      </w:r>
      <w:r w:rsidRPr="002B7D90">
        <w:rPr>
          <w:rFonts w:ascii="Calibri" w:hAnsi="Calibri"/>
          <w:sz w:val="22"/>
        </w:rPr>
        <w:t xml:space="preserve">  </w:t>
      </w:r>
      <w:r>
        <w:rPr>
          <w:rFonts w:ascii="Calibri" w:hAnsi="Calibri"/>
          <w:sz w:val="22"/>
        </w:rPr>
        <w:t>Law enforcement</w:t>
      </w:r>
      <w:r w:rsidRPr="002B7D90">
        <w:rPr>
          <w:rFonts w:ascii="Calibri" w:hAnsi="Calibri"/>
          <w:sz w:val="22"/>
        </w:rPr>
        <w:t xml:space="preserve"> can transport collected CSs to a destruction location as long as the transfer is done in a manner that prevents diversion </w:t>
      </w:r>
      <w:r w:rsidRPr="002B7D90">
        <w:rPr>
          <w:rFonts w:ascii="Calibri" w:hAnsi="Calibri"/>
          <w:sz w:val="18"/>
          <w:szCs w:val="18"/>
        </w:rPr>
        <w:t>[§ 1317.35(d)]</w:t>
      </w:r>
      <w:r w:rsidRPr="002B7D90">
        <w:rPr>
          <w:rFonts w:ascii="Calibri" w:hAnsi="Calibri"/>
          <w:sz w:val="22"/>
        </w:rPr>
        <w:t xml:space="preserve">.  Or the law enforcement agency can transfer collected CSs to a reverse distributor for destruction with specific record-keeping requirements </w:t>
      </w:r>
      <w:r w:rsidRPr="002B7D90">
        <w:rPr>
          <w:rFonts w:ascii="Calibri" w:hAnsi="Calibri"/>
          <w:sz w:val="18"/>
          <w:szCs w:val="18"/>
        </w:rPr>
        <w:t>[§ 1317.35(e)]</w:t>
      </w:r>
      <w:r w:rsidRPr="002B7D90">
        <w:rPr>
          <w:rFonts w:ascii="Calibri" w:hAnsi="Calibri"/>
          <w:sz w:val="22"/>
        </w:rPr>
        <w:t>.</w:t>
      </w:r>
    </w:p>
    <w:p w:rsidR="00637045" w:rsidRPr="002B7D90" w:rsidRDefault="00637045" w:rsidP="009F1458">
      <w:pPr>
        <w:pStyle w:val="ListParagraph"/>
        <w:ind w:left="0"/>
        <w:rPr>
          <w:rFonts w:ascii="Calibri" w:hAnsi="Calibri"/>
          <w:color w:val="00B050"/>
          <w:sz w:val="22"/>
        </w:rPr>
      </w:pPr>
    </w:p>
    <w:p w:rsidR="00637045" w:rsidRPr="002B7D90" w:rsidRDefault="00637045" w:rsidP="009F1458">
      <w:pPr>
        <w:pStyle w:val="ListParagraph"/>
        <w:ind w:left="0"/>
        <w:rPr>
          <w:rFonts w:ascii="Calibri" w:hAnsi="Calibri"/>
          <w:b/>
          <w:sz w:val="22"/>
        </w:rPr>
      </w:pPr>
      <w:r w:rsidRPr="002B7D90">
        <w:rPr>
          <w:rFonts w:ascii="Calibri" w:hAnsi="Calibri"/>
          <w:b/>
          <w:sz w:val="22"/>
        </w:rPr>
        <w:t>Take-back events [§ 1317.65]</w:t>
      </w:r>
    </w:p>
    <w:p w:rsidR="00637045" w:rsidRPr="002B7D90" w:rsidRDefault="00637045" w:rsidP="00CA7378">
      <w:pPr>
        <w:pStyle w:val="ListParagraph"/>
        <w:numPr>
          <w:ilvl w:val="0"/>
          <w:numId w:val="7"/>
        </w:numPr>
        <w:ind w:left="360"/>
        <w:rPr>
          <w:rFonts w:ascii="Calibri" w:hAnsi="Calibri"/>
          <w:sz w:val="22"/>
        </w:rPr>
      </w:pPr>
      <w:r w:rsidRPr="002B7D90">
        <w:rPr>
          <w:rFonts w:ascii="Calibri" w:hAnsi="Calibri"/>
          <w:sz w:val="22"/>
        </w:rPr>
        <w:t xml:space="preserve">Only </w:t>
      </w:r>
      <w:r>
        <w:rPr>
          <w:rFonts w:ascii="Calibri" w:hAnsi="Calibri"/>
          <w:b/>
          <w:sz w:val="22"/>
        </w:rPr>
        <w:t>law enforcement</w:t>
      </w:r>
      <w:r w:rsidRPr="002B7D90">
        <w:rPr>
          <w:rFonts w:ascii="Calibri" w:hAnsi="Calibri"/>
          <w:sz w:val="22"/>
        </w:rPr>
        <w:t xml:space="preserve"> can run take-back events, but other entities can partner or co-sponsor such events </w:t>
      </w:r>
      <w:r w:rsidRPr="002B7D90">
        <w:rPr>
          <w:rFonts w:ascii="Calibri" w:hAnsi="Calibri"/>
          <w:sz w:val="18"/>
          <w:szCs w:val="18"/>
        </w:rPr>
        <w:t>[§ 1317.65(a)]</w:t>
      </w:r>
      <w:r w:rsidRPr="002B7D90">
        <w:rPr>
          <w:rFonts w:ascii="Calibri" w:hAnsi="Calibri"/>
          <w:sz w:val="22"/>
        </w:rPr>
        <w:t>.</w:t>
      </w:r>
    </w:p>
    <w:p w:rsidR="00637045" w:rsidRPr="002B7D90" w:rsidRDefault="00637045" w:rsidP="00F032F6">
      <w:pPr>
        <w:pStyle w:val="ListParagraph"/>
        <w:numPr>
          <w:ilvl w:val="0"/>
          <w:numId w:val="7"/>
        </w:numPr>
        <w:spacing w:after="200" w:line="276" w:lineRule="auto"/>
        <w:ind w:left="360"/>
        <w:rPr>
          <w:rFonts w:ascii="Calibri" w:hAnsi="Calibri"/>
          <w:sz w:val="22"/>
        </w:rPr>
      </w:pPr>
      <w:r w:rsidRPr="002B7D90">
        <w:rPr>
          <w:rFonts w:ascii="Calibri" w:hAnsi="Calibri"/>
          <w:sz w:val="22"/>
        </w:rPr>
        <w:t xml:space="preserve">Take-back events must be overseen by a </w:t>
      </w:r>
      <w:r w:rsidRPr="002B7D90">
        <w:rPr>
          <w:rFonts w:ascii="Calibri" w:hAnsi="Calibri"/>
          <w:b/>
          <w:sz w:val="22"/>
        </w:rPr>
        <w:t>law enforcement officer</w:t>
      </w:r>
      <w:r w:rsidRPr="002B7D90">
        <w:rPr>
          <w:rFonts w:ascii="Calibri" w:hAnsi="Calibri"/>
          <w:sz w:val="22"/>
        </w:rPr>
        <w:t xml:space="preserve"> as defined in [§ 1300.05(b)], see above.</w:t>
      </w:r>
    </w:p>
    <w:p w:rsidR="00637045" w:rsidRPr="002B7D90" w:rsidRDefault="00637045" w:rsidP="00CA7378">
      <w:pPr>
        <w:pStyle w:val="ListParagraph"/>
        <w:numPr>
          <w:ilvl w:val="0"/>
          <w:numId w:val="7"/>
        </w:numPr>
        <w:ind w:left="360"/>
        <w:rPr>
          <w:rFonts w:ascii="Calibri" w:hAnsi="Calibri"/>
          <w:sz w:val="22"/>
        </w:rPr>
      </w:pPr>
      <w:r w:rsidRPr="002B7D90">
        <w:rPr>
          <w:rFonts w:ascii="Calibri" w:hAnsi="Calibri"/>
          <w:b/>
          <w:sz w:val="22"/>
        </w:rPr>
        <w:t>No other person besides the ultimate user and the law enforcement officer may handle CSs</w:t>
      </w:r>
      <w:r w:rsidRPr="002B7D90">
        <w:rPr>
          <w:rFonts w:ascii="Calibri" w:hAnsi="Calibri"/>
          <w:sz w:val="22"/>
        </w:rPr>
        <w:t xml:space="preserve"> at any time during the event (e.g., community volunteers or pharmacists may not handle CSs) </w:t>
      </w:r>
      <w:r w:rsidRPr="002B7D90">
        <w:rPr>
          <w:rFonts w:ascii="Calibri" w:hAnsi="Calibri"/>
          <w:sz w:val="18"/>
          <w:szCs w:val="18"/>
        </w:rPr>
        <w:t>[§ 1317.65(e)]</w:t>
      </w:r>
      <w:r w:rsidRPr="002B7D90">
        <w:rPr>
          <w:rFonts w:ascii="Calibri" w:hAnsi="Calibri"/>
          <w:sz w:val="22"/>
        </w:rPr>
        <w:t>.</w:t>
      </w:r>
    </w:p>
    <w:p w:rsidR="00637045" w:rsidRPr="002B7D90" w:rsidRDefault="00637045" w:rsidP="00CA7378">
      <w:pPr>
        <w:pStyle w:val="ListParagraph"/>
        <w:numPr>
          <w:ilvl w:val="0"/>
          <w:numId w:val="7"/>
        </w:numPr>
        <w:ind w:left="360"/>
        <w:rPr>
          <w:rFonts w:ascii="Calibri" w:hAnsi="Calibri"/>
          <w:sz w:val="22"/>
        </w:rPr>
      </w:pPr>
      <w:r w:rsidRPr="002B7D90">
        <w:rPr>
          <w:rFonts w:ascii="Calibri" w:hAnsi="Calibri"/>
          <w:sz w:val="22"/>
        </w:rPr>
        <w:t xml:space="preserve">The rule recommends that there should be at least one secure receptacle at take-back events to achieve optimal security </w:t>
      </w:r>
      <w:r w:rsidRPr="002B7D90">
        <w:rPr>
          <w:rFonts w:ascii="Calibri" w:hAnsi="Calibri"/>
          <w:sz w:val="18"/>
          <w:szCs w:val="18"/>
        </w:rPr>
        <w:t>[§ 1317.65(c)]</w:t>
      </w:r>
      <w:r w:rsidRPr="002B7D90">
        <w:rPr>
          <w:rFonts w:ascii="Calibri" w:hAnsi="Calibri"/>
          <w:sz w:val="22"/>
        </w:rPr>
        <w:t xml:space="preserve">.  </w:t>
      </w:r>
      <w:r>
        <w:rPr>
          <w:rFonts w:ascii="Calibri" w:hAnsi="Calibri"/>
          <w:sz w:val="22"/>
        </w:rPr>
        <w:t>Law enforcement</w:t>
      </w:r>
      <w:r w:rsidRPr="002B7D90">
        <w:rPr>
          <w:rFonts w:ascii="Calibri" w:hAnsi="Calibri"/>
          <w:sz w:val="22"/>
        </w:rPr>
        <w:t xml:space="preserve"> </w:t>
      </w:r>
      <w:proofErr w:type="gramStart"/>
      <w:r w:rsidRPr="002B7D90">
        <w:rPr>
          <w:rFonts w:ascii="Calibri" w:hAnsi="Calibri"/>
          <w:sz w:val="22"/>
        </w:rPr>
        <w:t>have</w:t>
      </w:r>
      <w:proofErr w:type="gramEnd"/>
      <w:r w:rsidRPr="002B7D90">
        <w:rPr>
          <w:rFonts w:ascii="Calibri" w:hAnsi="Calibri"/>
          <w:sz w:val="22"/>
        </w:rPr>
        <w:t xml:space="preserve"> discretion on the use or type of the secure receptacle for events. </w:t>
      </w:r>
    </w:p>
    <w:p w:rsidR="00637045" w:rsidRPr="002B7D90" w:rsidRDefault="00637045" w:rsidP="004D00E7">
      <w:pPr>
        <w:ind w:left="360"/>
        <w:rPr>
          <w:rFonts w:ascii="Calibri" w:hAnsi="Calibri"/>
          <w:color w:val="00B050"/>
          <w:sz w:val="22"/>
        </w:rPr>
      </w:pPr>
    </w:p>
    <w:p w:rsidR="00637045" w:rsidRPr="002B7D90" w:rsidRDefault="00637045" w:rsidP="004D00E7">
      <w:pPr>
        <w:rPr>
          <w:rFonts w:ascii="Calibri" w:hAnsi="Calibri"/>
          <w:color w:val="00B050"/>
          <w:sz w:val="22"/>
        </w:rPr>
      </w:pPr>
      <w:r w:rsidRPr="002B7D90">
        <w:rPr>
          <w:rFonts w:ascii="Calibri" w:hAnsi="Calibri"/>
          <w:b/>
          <w:sz w:val="22"/>
        </w:rPr>
        <w:t xml:space="preserve">Mail-back </w:t>
      </w:r>
      <w:r w:rsidRPr="002B7D90">
        <w:rPr>
          <w:rFonts w:ascii="Calibri" w:hAnsi="Calibri"/>
          <w:b/>
          <w:sz w:val="18"/>
        </w:rPr>
        <w:t>[§ 1317.70]</w:t>
      </w:r>
    </w:p>
    <w:p w:rsidR="00637045" w:rsidRPr="002B7D90" w:rsidRDefault="00637045" w:rsidP="004D00E7">
      <w:pPr>
        <w:numPr>
          <w:ilvl w:val="0"/>
          <w:numId w:val="7"/>
        </w:numPr>
        <w:rPr>
          <w:rFonts w:ascii="Calibri" w:hAnsi="Calibri"/>
          <w:sz w:val="22"/>
        </w:rPr>
      </w:pPr>
      <w:r>
        <w:rPr>
          <w:rFonts w:ascii="Calibri" w:hAnsi="Calibri"/>
          <w:b/>
          <w:sz w:val="22"/>
        </w:rPr>
        <w:t>Law enforcement</w:t>
      </w:r>
      <w:r w:rsidRPr="002B7D90">
        <w:rPr>
          <w:rFonts w:ascii="Calibri" w:hAnsi="Calibri"/>
          <w:sz w:val="22"/>
        </w:rPr>
        <w:t xml:space="preserve"> and </w:t>
      </w:r>
      <w:r w:rsidRPr="002B7D90">
        <w:rPr>
          <w:rFonts w:ascii="Calibri" w:hAnsi="Calibri"/>
          <w:b/>
          <w:sz w:val="22"/>
        </w:rPr>
        <w:t>collectors who have on-site destruction capabilities</w:t>
      </w:r>
      <w:r w:rsidRPr="002B7D90">
        <w:rPr>
          <w:rFonts w:ascii="Calibri" w:hAnsi="Calibri"/>
          <w:sz w:val="22"/>
        </w:rPr>
        <w:t xml:space="preserve"> (e.g., reverse distributors) can run mail-back services.  </w:t>
      </w:r>
    </w:p>
    <w:p w:rsidR="00637045" w:rsidRPr="002B7D90" w:rsidRDefault="00637045" w:rsidP="00541D34">
      <w:pPr>
        <w:pStyle w:val="ListParagraph"/>
        <w:numPr>
          <w:ilvl w:val="0"/>
          <w:numId w:val="7"/>
        </w:numPr>
        <w:rPr>
          <w:rFonts w:ascii="Calibri" w:hAnsi="Calibri"/>
          <w:sz w:val="22"/>
        </w:rPr>
      </w:pPr>
      <w:r w:rsidRPr="002B7D90">
        <w:rPr>
          <w:rFonts w:ascii="Calibri" w:hAnsi="Calibri"/>
          <w:sz w:val="22"/>
        </w:rPr>
        <w:t xml:space="preserve">Any other entity (e.g., retail pharmacy, government agency, sponsoring company) can </w:t>
      </w:r>
      <w:r w:rsidRPr="002B7D90">
        <w:rPr>
          <w:rFonts w:ascii="Calibri" w:hAnsi="Calibri"/>
          <w:b/>
          <w:sz w:val="22"/>
        </w:rPr>
        <w:t>partner</w:t>
      </w:r>
      <w:r w:rsidRPr="002B7D90">
        <w:rPr>
          <w:rFonts w:ascii="Calibri" w:hAnsi="Calibri"/>
          <w:sz w:val="22"/>
        </w:rPr>
        <w:t xml:space="preserve"> with an authorized collector or law enforcement agency to make mail-back packages available to ultimate users </w:t>
      </w:r>
      <w:r w:rsidRPr="002B7D90">
        <w:rPr>
          <w:rFonts w:ascii="Calibri" w:hAnsi="Calibri"/>
          <w:sz w:val="18"/>
          <w:szCs w:val="18"/>
        </w:rPr>
        <w:t>[§ 1317.70(c)]</w:t>
      </w:r>
      <w:r w:rsidRPr="002B7D90">
        <w:rPr>
          <w:rFonts w:ascii="Calibri" w:hAnsi="Calibri"/>
          <w:sz w:val="22"/>
        </w:rPr>
        <w:t>.</w:t>
      </w:r>
    </w:p>
    <w:p w:rsidR="00637045" w:rsidRPr="002B7D90" w:rsidRDefault="00637045" w:rsidP="00541D34">
      <w:pPr>
        <w:pStyle w:val="ListParagraph"/>
        <w:numPr>
          <w:ilvl w:val="0"/>
          <w:numId w:val="9"/>
        </w:numPr>
        <w:rPr>
          <w:rFonts w:ascii="Calibri" w:hAnsi="Calibri"/>
          <w:sz w:val="22"/>
        </w:rPr>
      </w:pPr>
      <w:r w:rsidRPr="002B7D90">
        <w:rPr>
          <w:rFonts w:ascii="Calibri" w:hAnsi="Calibri"/>
          <w:b/>
          <w:sz w:val="22"/>
        </w:rPr>
        <w:t>Specifications of mail-back packages</w:t>
      </w:r>
      <w:r w:rsidRPr="002B7D90">
        <w:rPr>
          <w:rFonts w:ascii="Calibri" w:hAnsi="Calibri"/>
          <w:sz w:val="22"/>
        </w:rPr>
        <w:t xml:space="preserve"> </w:t>
      </w:r>
      <w:r w:rsidRPr="002B7D90">
        <w:rPr>
          <w:rFonts w:ascii="Calibri" w:hAnsi="Calibri"/>
          <w:sz w:val="18"/>
          <w:szCs w:val="18"/>
        </w:rPr>
        <w:t>[§ 1317.70(c)(1-6)]</w:t>
      </w:r>
      <w:r w:rsidRPr="002B7D90">
        <w:rPr>
          <w:rFonts w:ascii="Calibri" w:hAnsi="Calibri"/>
          <w:sz w:val="22"/>
        </w:rPr>
        <w:t>:</w:t>
      </w:r>
    </w:p>
    <w:p w:rsidR="00637045" w:rsidRPr="002B7D90" w:rsidRDefault="00637045" w:rsidP="00293DE3">
      <w:pPr>
        <w:pStyle w:val="ListParagraph"/>
        <w:numPr>
          <w:ilvl w:val="1"/>
          <w:numId w:val="8"/>
        </w:numPr>
        <w:rPr>
          <w:rFonts w:ascii="Calibri" w:hAnsi="Calibri"/>
          <w:sz w:val="22"/>
        </w:rPr>
      </w:pPr>
      <w:r w:rsidRPr="002B7D90">
        <w:rPr>
          <w:rFonts w:ascii="Calibri" w:hAnsi="Calibri"/>
          <w:sz w:val="22"/>
        </w:rPr>
        <w:t>Provided either at no cost or a fee;</w:t>
      </w:r>
    </w:p>
    <w:p w:rsidR="00637045" w:rsidRPr="002B7D90" w:rsidRDefault="00637045" w:rsidP="00F032F6">
      <w:pPr>
        <w:pStyle w:val="ListParagraph"/>
        <w:numPr>
          <w:ilvl w:val="1"/>
          <w:numId w:val="8"/>
        </w:numPr>
        <w:rPr>
          <w:rFonts w:ascii="Calibri" w:hAnsi="Calibri"/>
          <w:sz w:val="22"/>
        </w:rPr>
      </w:pPr>
      <w:r w:rsidRPr="002B7D90">
        <w:rPr>
          <w:rFonts w:ascii="Calibri" w:hAnsi="Calibri"/>
          <w:sz w:val="22"/>
        </w:rPr>
        <w:t>Nondescript, tamper-evident, tear-resistant, water-proof, spill-proof and sealable;</w:t>
      </w:r>
    </w:p>
    <w:p w:rsidR="00637045" w:rsidRPr="002B7D90" w:rsidRDefault="00637045" w:rsidP="00293DE3">
      <w:pPr>
        <w:pStyle w:val="ListParagraph"/>
        <w:numPr>
          <w:ilvl w:val="1"/>
          <w:numId w:val="8"/>
        </w:numPr>
        <w:rPr>
          <w:rFonts w:ascii="Calibri" w:hAnsi="Calibri"/>
          <w:sz w:val="22"/>
        </w:rPr>
      </w:pPr>
      <w:r w:rsidRPr="002B7D90">
        <w:rPr>
          <w:rFonts w:ascii="Calibri" w:hAnsi="Calibri"/>
          <w:sz w:val="22"/>
        </w:rPr>
        <w:t>Postage paid and pre-addressed to authorized mail-back location (i.e., collector’s registered location with on-site method of destruction or to law enforcement agency’s physical address);</w:t>
      </w:r>
    </w:p>
    <w:p w:rsidR="00637045" w:rsidRPr="002B7D90" w:rsidRDefault="00637045" w:rsidP="00293DE3">
      <w:pPr>
        <w:pStyle w:val="ListParagraph"/>
        <w:numPr>
          <w:ilvl w:val="1"/>
          <w:numId w:val="8"/>
        </w:numPr>
        <w:rPr>
          <w:rFonts w:ascii="Calibri" w:hAnsi="Calibri"/>
          <w:sz w:val="22"/>
        </w:rPr>
      </w:pPr>
      <w:r w:rsidRPr="002B7D90">
        <w:rPr>
          <w:rFonts w:ascii="Calibri" w:hAnsi="Calibri"/>
          <w:sz w:val="22"/>
        </w:rPr>
        <w:t>Each mail-back package must have a unique ID number so that each package can be tracked;</w:t>
      </w:r>
    </w:p>
    <w:p w:rsidR="00637045" w:rsidRPr="002B7D90" w:rsidRDefault="00637045" w:rsidP="00F12EE6">
      <w:pPr>
        <w:pStyle w:val="ListParagraph"/>
        <w:numPr>
          <w:ilvl w:val="2"/>
          <w:numId w:val="8"/>
        </w:numPr>
        <w:rPr>
          <w:rFonts w:ascii="Calibri" w:hAnsi="Calibri"/>
          <w:sz w:val="22"/>
        </w:rPr>
      </w:pPr>
      <w:r w:rsidRPr="002B7D90">
        <w:rPr>
          <w:rFonts w:ascii="Calibri" w:hAnsi="Calibri"/>
          <w:sz w:val="22"/>
        </w:rPr>
        <w:t xml:space="preserve">Collector must keep inventory of mail-back packages created and record the unique ID number of each package received; </w:t>
      </w:r>
    </w:p>
    <w:p w:rsidR="00637045" w:rsidRPr="002B7D90" w:rsidRDefault="00637045" w:rsidP="00F12EE6">
      <w:pPr>
        <w:pStyle w:val="ListParagraph"/>
        <w:numPr>
          <w:ilvl w:val="2"/>
          <w:numId w:val="8"/>
        </w:numPr>
        <w:rPr>
          <w:rFonts w:ascii="Calibri" w:hAnsi="Calibri"/>
          <w:sz w:val="22"/>
        </w:rPr>
      </w:pPr>
      <w:r w:rsidRPr="002B7D90">
        <w:rPr>
          <w:rFonts w:ascii="Calibri" w:hAnsi="Calibri"/>
          <w:sz w:val="22"/>
        </w:rPr>
        <w:t>Collector is not responsible for tracking mailers that were disseminated but never returned.</w:t>
      </w:r>
    </w:p>
    <w:p w:rsidR="00637045" w:rsidRPr="002B7D90" w:rsidRDefault="00637045" w:rsidP="00293DE3">
      <w:pPr>
        <w:pStyle w:val="ListParagraph"/>
        <w:numPr>
          <w:ilvl w:val="1"/>
          <w:numId w:val="8"/>
        </w:numPr>
        <w:rPr>
          <w:rFonts w:ascii="Calibri" w:hAnsi="Calibri"/>
          <w:sz w:val="22"/>
        </w:rPr>
      </w:pPr>
      <w:r w:rsidRPr="002B7D90">
        <w:rPr>
          <w:rFonts w:ascii="Calibri" w:hAnsi="Calibri"/>
          <w:sz w:val="22"/>
        </w:rPr>
        <w:t>Each package must include instructions for the user that indicate process for mailing back the package, the permitted substances that can be sent, and related information;</w:t>
      </w:r>
    </w:p>
    <w:p w:rsidR="00637045" w:rsidRPr="002B7D90" w:rsidRDefault="00637045" w:rsidP="00F032F6">
      <w:pPr>
        <w:pStyle w:val="ListParagraph"/>
        <w:numPr>
          <w:ilvl w:val="0"/>
          <w:numId w:val="8"/>
        </w:numPr>
        <w:rPr>
          <w:rFonts w:ascii="Calibri" w:hAnsi="Calibri"/>
          <w:sz w:val="22"/>
        </w:rPr>
      </w:pPr>
      <w:r w:rsidRPr="002B7D90">
        <w:rPr>
          <w:rFonts w:ascii="Calibri" w:hAnsi="Calibri"/>
          <w:sz w:val="22"/>
        </w:rPr>
        <w:t>No personal information from the ultimate user shall be required.</w:t>
      </w:r>
    </w:p>
    <w:p w:rsidR="00637045" w:rsidRPr="002B7D90" w:rsidRDefault="00637045" w:rsidP="00F032F6">
      <w:pPr>
        <w:pStyle w:val="ListParagraph"/>
        <w:numPr>
          <w:ilvl w:val="0"/>
          <w:numId w:val="7"/>
        </w:numPr>
        <w:spacing w:after="200" w:line="276" w:lineRule="auto"/>
        <w:rPr>
          <w:rFonts w:ascii="Calibri" w:hAnsi="Calibri"/>
          <w:sz w:val="22"/>
        </w:rPr>
      </w:pPr>
      <w:r w:rsidRPr="002B7D90">
        <w:rPr>
          <w:rFonts w:ascii="Calibri" w:hAnsi="Calibri"/>
          <w:b/>
          <w:sz w:val="22"/>
        </w:rPr>
        <w:t>Only law enforcement officers</w:t>
      </w:r>
      <w:r w:rsidRPr="002B7D90">
        <w:rPr>
          <w:rFonts w:ascii="Calibri" w:hAnsi="Calibri"/>
          <w:sz w:val="22"/>
        </w:rPr>
        <w:t xml:space="preserve"> as defined in § 1300.05(b), see above, shall handle mail-back packages for a law enforcement program.  Only employees as defined in § 1300.05(b) shall handle mail-back packages for a mail-back program administered by an authorized collector.</w:t>
      </w:r>
    </w:p>
    <w:p w:rsidR="00637045" w:rsidRPr="002B7D90" w:rsidRDefault="00637045" w:rsidP="00F032F6">
      <w:pPr>
        <w:pStyle w:val="ListParagraph"/>
        <w:numPr>
          <w:ilvl w:val="0"/>
          <w:numId w:val="8"/>
        </w:numPr>
        <w:spacing w:line="276" w:lineRule="auto"/>
        <w:rPr>
          <w:rFonts w:ascii="Calibri" w:hAnsi="Calibri"/>
          <w:sz w:val="22"/>
        </w:rPr>
      </w:pPr>
      <w:r w:rsidRPr="002B7D90">
        <w:rPr>
          <w:rFonts w:ascii="Calibri" w:hAnsi="Calibri"/>
          <w:sz w:val="22"/>
        </w:rPr>
        <w:lastRenderedPageBreak/>
        <w:t>Collectors administering a mail-back program may not open, x-ray, or analyze the packages.</w:t>
      </w:r>
    </w:p>
    <w:p w:rsidR="00637045" w:rsidRPr="002B7D90" w:rsidRDefault="00637045" w:rsidP="00541D34">
      <w:pPr>
        <w:numPr>
          <w:ilvl w:val="0"/>
          <w:numId w:val="8"/>
        </w:numPr>
        <w:rPr>
          <w:rFonts w:ascii="Calibri" w:hAnsi="Calibri"/>
          <w:b/>
          <w:sz w:val="22"/>
        </w:rPr>
      </w:pPr>
      <w:r w:rsidRPr="002B7D90">
        <w:rPr>
          <w:rFonts w:ascii="Calibri" w:hAnsi="Calibri"/>
          <w:b/>
          <w:sz w:val="22"/>
        </w:rPr>
        <w:t xml:space="preserve">Destruction of mail-back packages.  </w:t>
      </w:r>
    </w:p>
    <w:p w:rsidR="00637045" w:rsidRPr="002B7D90" w:rsidRDefault="00637045" w:rsidP="00541D34">
      <w:pPr>
        <w:numPr>
          <w:ilvl w:val="1"/>
          <w:numId w:val="8"/>
        </w:numPr>
        <w:rPr>
          <w:rFonts w:ascii="Calibri" w:hAnsi="Calibri"/>
          <w:sz w:val="22"/>
        </w:rPr>
      </w:pPr>
      <w:r w:rsidRPr="002B7D90">
        <w:rPr>
          <w:rFonts w:ascii="Calibri" w:hAnsi="Calibri"/>
          <w:sz w:val="22"/>
        </w:rPr>
        <w:t>Authorized collectors must render returned mail-back package non-retrievable on-site, by a method consistent with § 1317.90.</w:t>
      </w:r>
    </w:p>
    <w:p w:rsidR="00637045" w:rsidRPr="002B7D90" w:rsidRDefault="00637045" w:rsidP="00541D34">
      <w:pPr>
        <w:numPr>
          <w:ilvl w:val="1"/>
          <w:numId w:val="8"/>
        </w:numPr>
        <w:rPr>
          <w:rFonts w:ascii="Calibri" w:hAnsi="Calibri"/>
          <w:sz w:val="22"/>
        </w:rPr>
      </w:pPr>
      <w:r w:rsidRPr="002B7D90">
        <w:rPr>
          <w:rFonts w:ascii="Calibri" w:hAnsi="Calibri"/>
          <w:sz w:val="22"/>
        </w:rPr>
        <w:t xml:space="preserve">Law enforcement are not required to destroy mail-back packages on-site and may continue to transfer collected CSs in mail-back packages to reverse distributors for destruction </w:t>
      </w:r>
      <w:r w:rsidRPr="002B7D90">
        <w:rPr>
          <w:rFonts w:ascii="Calibri" w:hAnsi="Calibri"/>
          <w:sz w:val="18"/>
          <w:szCs w:val="18"/>
        </w:rPr>
        <w:t>[§ 1317.35(d) and (e)].</w:t>
      </w:r>
    </w:p>
    <w:p w:rsidR="00637045" w:rsidRPr="002B7D90" w:rsidRDefault="00637045" w:rsidP="00E011AC">
      <w:pPr>
        <w:pStyle w:val="ListParagraph"/>
        <w:numPr>
          <w:ilvl w:val="0"/>
          <w:numId w:val="8"/>
        </w:numPr>
        <w:rPr>
          <w:rFonts w:ascii="Calibri" w:hAnsi="Calibri"/>
          <w:sz w:val="22"/>
        </w:rPr>
      </w:pPr>
      <w:r w:rsidRPr="002B7D90">
        <w:rPr>
          <w:rFonts w:ascii="Calibri" w:hAnsi="Calibri"/>
          <w:sz w:val="22"/>
        </w:rPr>
        <w:t xml:space="preserve">DEA recognizes that proposed requirements may limit the number of companies authorized to conduct a mail-back program; however, it notes that a single authorized mail-back program would be capable of receiving packages from any location within the </w:t>
      </w:r>
      <w:smartTag w:uri="urn:schemas-microsoft-com:office:smarttags" w:element="place">
        <w:smartTag w:uri="urn:schemas-microsoft-com:office:smarttags" w:element="country-region">
          <w:r w:rsidRPr="002B7D90">
            <w:rPr>
              <w:rFonts w:ascii="Calibri" w:hAnsi="Calibri"/>
              <w:sz w:val="22"/>
            </w:rPr>
            <w:t>U.S.</w:t>
          </w:r>
        </w:smartTag>
      </w:smartTag>
    </w:p>
    <w:p w:rsidR="00637045" w:rsidRPr="002B7D90" w:rsidRDefault="00637045" w:rsidP="0068708E">
      <w:pPr>
        <w:rPr>
          <w:rFonts w:ascii="Calibri" w:hAnsi="Calibri"/>
          <w:color w:val="00B050"/>
          <w:sz w:val="22"/>
        </w:rPr>
      </w:pPr>
    </w:p>
    <w:p w:rsidR="00637045" w:rsidRPr="002B7D90" w:rsidRDefault="00637045" w:rsidP="005D623E">
      <w:pPr>
        <w:rPr>
          <w:rFonts w:ascii="Calibri" w:hAnsi="Calibri"/>
          <w:sz w:val="18"/>
        </w:rPr>
      </w:pPr>
      <w:r w:rsidRPr="002B7D90">
        <w:rPr>
          <w:rFonts w:ascii="Calibri" w:hAnsi="Calibri"/>
          <w:b/>
          <w:sz w:val="22"/>
        </w:rPr>
        <w:t xml:space="preserve">Collection receptacles </w:t>
      </w:r>
      <w:r w:rsidRPr="002B7D90">
        <w:rPr>
          <w:rFonts w:ascii="Calibri" w:hAnsi="Calibri"/>
          <w:sz w:val="18"/>
        </w:rPr>
        <w:t>[</w:t>
      </w:r>
      <w:r w:rsidRPr="002B7D90">
        <w:rPr>
          <w:rFonts w:ascii="Calibri" w:hAnsi="Calibri"/>
          <w:b/>
          <w:sz w:val="18"/>
        </w:rPr>
        <w:t>§ 1317.75]</w:t>
      </w:r>
    </w:p>
    <w:p w:rsidR="00637045" w:rsidRPr="002B7D90" w:rsidRDefault="00637045" w:rsidP="005D623E">
      <w:pPr>
        <w:pStyle w:val="ListParagraph"/>
        <w:numPr>
          <w:ilvl w:val="0"/>
          <w:numId w:val="3"/>
        </w:numPr>
        <w:rPr>
          <w:rFonts w:ascii="Calibri" w:hAnsi="Calibri"/>
          <w:sz w:val="22"/>
        </w:rPr>
      </w:pPr>
      <w:r w:rsidRPr="002B7D90">
        <w:rPr>
          <w:rFonts w:ascii="Calibri" w:hAnsi="Calibri"/>
          <w:sz w:val="22"/>
        </w:rPr>
        <w:t xml:space="preserve">Registered </w:t>
      </w:r>
      <w:r w:rsidRPr="002B7D90">
        <w:rPr>
          <w:rFonts w:ascii="Calibri" w:hAnsi="Calibri"/>
          <w:b/>
          <w:sz w:val="22"/>
        </w:rPr>
        <w:t>collectors</w:t>
      </w:r>
      <w:r w:rsidRPr="002B7D90">
        <w:rPr>
          <w:rFonts w:ascii="Calibri" w:hAnsi="Calibri"/>
          <w:sz w:val="22"/>
        </w:rPr>
        <w:t xml:space="preserve"> may maintain a collection receptacle at a DEA registered physical location.  </w:t>
      </w:r>
      <w:r>
        <w:rPr>
          <w:rFonts w:ascii="Calibri" w:hAnsi="Calibri"/>
          <w:b/>
          <w:sz w:val="22"/>
        </w:rPr>
        <w:t>Law enforcement</w:t>
      </w:r>
      <w:r w:rsidRPr="002B7D90">
        <w:rPr>
          <w:rFonts w:ascii="Calibri" w:hAnsi="Calibri"/>
          <w:sz w:val="22"/>
        </w:rPr>
        <w:t xml:space="preserve"> may also maintain a collection receptacle at their registered locations.</w:t>
      </w:r>
    </w:p>
    <w:p w:rsidR="00637045" w:rsidRPr="002B7D90" w:rsidRDefault="00637045" w:rsidP="00E165F9">
      <w:pPr>
        <w:pStyle w:val="ListParagraph"/>
        <w:numPr>
          <w:ilvl w:val="1"/>
          <w:numId w:val="28"/>
        </w:numPr>
        <w:rPr>
          <w:rFonts w:ascii="Calibri" w:hAnsi="Calibri"/>
          <w:sz w:val="22"/>
        </w:rPr>
      </w:pPr>
      <w:r w:rsidRPr="002B7D90">
        <w:rPr>
          <w:rFonts w:ascii="Calibri" w:hAnsi="Calibri"/>
          <w:sz w:val="22"/>
        </w:rPr>
        <w:t xml:space="preserve">Receptacles </w:t>
      </w:r>
      <w:r w:rsidRPr="002B7D90">
        <w:rPr>
          <w:rFonts w:ascii="Calibri" w:hAnsi="Calibri"/>
          <w:sz w:val="22"/>
          <w:u w:val="single"/>
        </w:rPr>
        <w:t>cannot</w:t>
      </w:r>
      <w:r w:rsidRPr="002B7D90">
        <w:rPr>
          <w:rFonts w:ascii="Calibri" w:hAnsi="Calibri"/>
          <w:sz w:val="22"/>
        </w:rPr>
        <w:t xml:space="preserve"> be placed at non-registered locations such as libraries or community centers.</w:t>
      </w:r>
    </w:p>
    <w:p w:rsidR="00637045" w:rsidRPr="002B7D90" w:rsidRDefault="00637045" w:rsidP="00032E05">
      <w:pPr>
        <w:pStyle w:val="ListParagraph"/>
        <w:numPr>
          <w:ilvl w:val="0"/>
          <w:numId w:val="3"/>
        </w:numPr>
        <w:rPr>
          <w:rFonts w:ascii="Calibri" w:hAnsi="Calibri"/>
          <w:sz w:val="22"/>
        </w:rPr>
      </w:pPr>
      <w:r w:rsidRPr="002B7D90">
        <w:rPr>
          <w:rFonts w:ascii="Calibri" w:hAnsi="Calibri"/>
          <w:b/>
          <w:sz w:val="22"/>
        </w:rPr>
        <w:t xml:space="preserve">Collection receptacle placement and requirements </w:t>
      </w:r>
      <w:r w:rsidRPr="002B7D90">
        <w:rPr>
          <w:rFonts w:ascii="Calibri" w:hAnsi="Calibri"/>
          <w:sz w:val="18"/>
          <w:szCs w:val="18"/>
        </w:rPr>
        <w:t>[§ 1317.75(d) and (e)]</w:t>
      </w:r>
      <w:r w:rsidRPr="002B7D90">
        <w:rPr>
          <w:rFonts w:ascii="Calibri" w:hAnsi="Calibri"/>
          <w:sz w:val="22"/>
        </w:rPr>
        <w:t xml:space="preserve">: </w:t>
      </w:r>
    </w:p>
    <w:p w:rsidR="00637045" w:rsidRPr="002B7D90" w:rsidRDefault="00637045" w:rsidP="00E165F9">
      <w:pPr>
        <w:pStyle w:val="ListParagraph"/>
        <w:numPr>
          <w:ilvl w:val="1"/>
          <w:numId w:val="3"/>
        </w:numPr>
        <w:rPr>
          <w:rFonts w:ascii="Calibri" w:hAnsi="Calibri"/>
          <w:sz w:val="22"/>
        </w:rPr>
      </w:pPr>
      <w:r w:rsidRPr="002B7D90">
        <w:rPr>
          <w:rFonts w:ascii="Calibri" w:hAnsi="Calibri"/>
          <w:sz w:val="22"/>
        </w:rPr>
        <w:t>Receptacles must be securely placed and maintained within a collector’s or law enforcement’s physical location or at an authorized long-term care facility.  The receptacle must be in a location where an employee is present, except that:</w:t>
      </w:r>
    </w:p>
    <w:p w:rsidR="00637045" w:rsidRPr="002B7D90" w:rsidRDefault="00637045" w:rsidP="00941AA3">
      <w:pPr>
        <w:pStyle w:val="ListParagraph"/>
        <w:numPr>
          <w:ilvl w:val="2"/>
          <w:numId w:val="27"/>
        </w:numPr>
        <w:rPr>
          <w:rFonts w:ascii="Calibri" w:hAnsi="Calibri"/>
          <w:sz w:val="22"/>
        </w:rPr>
      </w:pPr>
      <w:r w:rsidRPr="002B7D90">
        <w:rPr>
          <w:rFonts w:ascii="Calibri" w:hAnsi="Calibri"/>
          <w:sz w:val="22"/>
        </w:rPr>
        <w:t>A hospital/clinic collector may place the receptacle in an area regularly monitored by employees, but not in ER or urgent care area;</w:t>
      </w:r>
    </w:p>
    <w:p w:rsidR="00637045" w:rsidRPr="002B7D90" w:rsidRDefault="00637045" w:rsidP="00941AA3">
      <w:pPr>
        <w:pStyle w:val="ListParagraph"/>
        <w:numPr>
          <w:ilvl w:val="2"/>
          <w:numId w:val="27"/>
        </w:numPr>
        <w:rPr>
          <w:rFonts w:ascii="Calibri" w:hAnsi="Calibri"/>
          <w:sz w:val="22"/>
        </w:rPr>
      </w:pPr>
      <w:r w:rsidRPr="002B7D90">
        <w:rPr>
          <w:rFonts w:ascii="Calibri" w:hAnsi="Calibri"/>
          <w:sz w:val="22"/>
        </w:rPr>
        <w:t>A narcotic treatment program collector must locate the receptacle in a securely locked room, with limited access, that does not contain any other controlled substances; and</w:t>
      </w:r>
    </w:p>
    <w:p w:rsidR="00637045" w:rsidRPr="002B7D90" w:rsidRDefault="00637045" w:rsidP="00941AA3">
      <w:pPr>
        <w:pStyle w:val="ListParagraph"/>
        <w:numPr>
          <w:ilvl w:val="2"/>
          <w:numId w:val="27"/>
        </w:numPr>
        <w:rPr>
          <w:rFonts w:ascii="Calibri" w:hAnsi="Calibri"/>
          <w:sz w:val="22"/>
        </w:rPr>
      </w:pPr>
      <w:r w:rsidRPr="002B7D90">
        <w:rPr>
          <w:rFonts w:ascii="Calibri" w:hAnsi="Calibri"/>
          <w:sz w:val="22"/>
        </w:rPr>
        <w:t>A long-term care facility must place the receptacle in a secured area that is regularly monitored by employees.</w:t>
      </w:r>
    </w:p>
    <w:p w:rsidR="00637045" w:rsidRPr="002B7D90" w:rsidRDefault="00637045" w:rsidP="00032E05">
      <w:pPr>
        <w:pStyle w:val="ListParagraph"/>
        <w:numPr>
          <w:ilvl w:val="1"/>
          <w:numId w:val="3"/>
        </w:numPr>
        <w:rPr>
          <w:rFonts w:ascii="Calibri" w:hAnsi="Calibri"/>
          <w:sz w:val="22"/>
        </w:rPr>
      </w:pPr>
      <w:r w:rsidRPr="002B7D90">
        <w:rPr>
          <w:rFonts w:ascii="Calibri" w:hAnsi="Calibri"/>
          <w:sz w:val="22"/>
        </w:rPr>
        <w:t>Permanent, “substantially-constructed,” securely locked outer container with removable inner liner;</w:t>
      </w:r>
    </w:p>
    <w:p w:rsidR="00637045" w:rsidRPr="002B7D90" w:rsidRDefault="00637045" w:rsidP="00032E05">
      <w:pPr>
        <w:pStyle w:val="ListParagraph"/>
        <w:numPr>
          <w:ilvl w:val="1"/>
          <w:numId w:val="3"/>
        </w:numPr>
        <w:rPr>
          <w:rFonts w:ascii="Calibri" w:hAnsi="Calibri"/>
          <w:sz w:val="22"/>
        </w:rPr>
      </w:pPr>
      <w:r w:rsidRPr="002B7D90">
        <w:rPr>
          <w:rFonts w:ascii="Calibri" w:hAnsi="Calibri"/>
          <w:sz w:val="22"/>
        </w:rPr>
        <w:t>Small opening must be baffled or otherwise constructed so that contents can be added but not removed through it;</w:t>
      </w:r>
    </w:p>
    <w:p w:rsidR="00637045" w:rsidRPr="002B7D90" w:rsidRDefault="00637045" w:rsidP="00032E05">
      <w:pPr>
        <w:pStyle w:val="ListParagraph"/>
        <w:numPr>
          <w:ilvl w:val="1"/>
          <w:numId w:val="3"/>
        </w:numPr>
        <w:rPr>
          <w:rFonts w:ascii="Calibri" w:hAnsi="Calibri"/>
          <w:sz w:val="22"/>
        </w:rPr>
      </w:pPr>
      <w:r w:rsidRPr="002B7D90">
        <w:rPr>
          <w:rFonts w:ascii="Calibri" w:hAnsi="Calibri"/>
          <w:sz w:val="22"/>
        </w:rPr>
        <w:t>Opening must be locked or otherwise inaccessible to the public when an employee is not present (unless receptacle is located in a secured area of a narcotic treatment center);</w:t>
      </w:r>
    </w:p>
    <w:p w:rsidR="00637045" w:rsidRPr="002B7D90" w:rsidRDefault="00637045" w:rsidP="00032E05">
      <w:pPr>
        <w:pStyle w:val="ListParagraph"/>
        <w:numPr>
          <w:ilvl w:val="1"/>
          <w:numId w:val="3"/>
        </w:numPr>
        <w:rPr>
          <w:rFonts w:ascii="Calibri" w:hAnsi="Calibri"/>
          <w:sz w:val="22"/>
        </w:rPr>
      </w:pPr>
      <w:r w:rsidRPr="002B7D90">
        <w:rPr>
          <w:rFonts w:ascii="Calibri" w:hAnsi="Calibri"/>
          <w:sz w:val="22"/>
        </w:rPr>
        <w:t>Outer container must be securely fastened to a permanent structure so that it cannot be moved;</w:t>
      </w:r>
    </w:p>
    <w:p w:rsidR="00637045" w:rsidRPr="002B7D90" w:rsidRDefault="00637045" w:rsidP="00032E05">
      <w:pPr>
        <w:pStyle w:val="ListParagraph"/>
        <w:numPr>
          <w:ilvl w:val="1"/>
          <w:numId w:val="3"/>
        </w:numPr>
        <w:rPr>
          <w:rFonts w:ascii="Calibri" w:hAnsi="Calibri"/>
          <w:sz w:val="22"/>
        </w:rPr>
      </w:pPr>
      <w:r w:rsidRPr="002B7D90">
        <w:rPr>
          <w:rFonts w:ascii="Calibri" w:hAnsi="Calibri"/>
          <w:sz w:val="22"/>
        </w:rPr>
        <w:t>Signage requirements must indicate that only Schedule II – V CSs and non-CSs are accepted (i.e., no illegal drugs – Schedule I – are accepted);</w:t>
      </w:r>
    </w:p>
    <w:p w:rsidR="00637045" w:rsidRPr="002B7D90" w:rsidRDefault="00637045" w:rsidP="008B79A7">
      <w:pPr>
        <w:pStyle w:val="ListParagraph"/>
        <w:numPr>
          <w:ilvl w:val="0"/>
          <w:numId w:val="3"/>
        </w:numPr>
        <w:rPr>
          <w:rFonts w:ascii="Calibri" w:hAnsi="Calibri"/>
          <w:sz w:val="22"/>
        </w:rPr>
      </w:pPr>
      <w:r w:rsidRPr="002B7D90">
        <w:rPr>
          <w:rFonts w:ascii="Calibri" w:hAnsi="Calibri"/>
          <w:b/>
          <w:sz w:val="22"/>
        </w:rPr>
        <w:t>Inner Liner requirements</w:t>
      </w:r>
      <w:r w:rsidRPr="002B7D90">
        <w:rPr>
          <w:rFonts w:ascii="Calibri" w:hAnsi="Calibri"/>
          <w:sz w:val="22"/>
        </w:rPr>
        <w:t xml:space="preserve"> </w:t>
      </w:r>
      <w:r w:rsidRPr="002B7D90">
        <w:rPr>
          <w:rFonts w:ascii="Calibri" w:hAnsi="Calibri"/>
          <w:sz w:val="18"/>
        </w:rPr>
        <w:t>[§ 1317.60]</w:t>
      </w:r>
    </w:p>
    <w:p w:rsidR="00637045" w:rsidRPr="002B7D90" w:rsidRDefault="00637045" w:rsidP="00032E05">
      <w:pPr>
        <w:pStyle w:val="ListParagraph"/>
        <w:numPr>
          <w:ilvl w:val="1"/>
          <w:numId w:val="3"/>
        </w:numPr>
        <w:rPr>
          <w:rFonts w:ascii="Calibri" w:hAnsi="Calibri"/>
          <w:sz w:val="22"/>
        </w:rPr>
      </w:pPr>
      <w:r w:rsidRPr="002B7D90">
        <w:rPr>
          <w:rFonts w:ascii="Calibri" w:hAnsi="Calibri"/>
          <w:sz w:val="22"/>
        </w:rPr>
        <w:t xml:space="preserve">Inner liner must be waterproof, tamper-evident, tear-resistant, opaque and sealable, with the size clearly marked.  </w:t>
      </w:r>
    </w:p>
    <w:p w:rsidR="00637045" w:rsidRPr="002B7D90" w:rsidRDefault="00637045" w:rsidP="008B79A7">
      <w:pPr>
        <w:pStyle w:val="ListParagraph"/>
        <w:numPr>
          <w:ilvl w:val="1"/>
          <w:numId w:val="3"/>
        </w:numPr>
        <w:rPr>
          <w:rFonts w:ascii="Calibri" w:hAnsi="Calibri"/>
          <w:sz w:val="22"/>
        </w:rPr>
      </w:pPr>
      <w:r w:rsidRPr="002B7D90">
        <w:rPr>
          <w:rFonts w:ascii="Calibri" w:hAnsi="Calibri"/>
          <w:sz w:val="22"/>
        </w:rPr>
        <w:t>Inner liner must have permanent identification number for tracking that is unique to each collector;</w:t>
      </w:r>
    </w:p>
    <w:p w:rsidR="00637045" w:rsidRPr="002B7D90" w:rsidRDefault="00637045" w:rsidP="00375EE4">
      <w:pPr>
        <w:pStyle w:val="ListParagraph"/>
        <w:numPr>
          <w:ilvl w:val="1"/>
          <w:numId w:val="3"/>
        </w:numPr>
        <w:rPr>
          <w:rFonts w:ascii="Calibri" w:hAnsi="Calibri"/>
          <w:sz w:val="22"/>
        </w:rPr>
      </w:pPr>
      <w:r w:rsidRPr="002B7D90">
        <w:rPr>
          <w:rFonts w:ascii="Calibri" w:hAnsi="Calibri"/>
          <w:sz w:val="22"/>
        </w:rPr>
        <w:t>Removal of inner liner shall be performed by or under the supervision of at least two employees of the authorized collector.</w:t>
      </w:r>
    </w:p>
    <w:p w:rsidR="00637045" w:rsidRPr="002B7D90" w:rsidRDefault="00637045" w:rsidP="00375EE4">
      <w:pPr>
        <w:pStyle w:val="ListParagraph"/>
        <w:numPr>
          <w:ilvl w:val="1"/>
          <w:numId w:val="3"/>
        </w:numPr>
        <w:rPr>
          <w:rFonts w:ascii="Calibri" w:hAnsi="Calibri"/>
          <w:sz w:val="22"/>
        </w:rPr>
      </w:pPr>
      <w:r w:rsidRPr="002B7D90">
        <w:rPr>
          <w:rFonts w:ascii="Calibri" w:hAnsi="Calibri"/>
          <w:sz w:val="22"/>
        </w:rPr>
        <w:t>Inner liner must be immediately sealed, and cannot be opened, x-rayed, analyzed, or otherwise penetrated.</w:t>
      </w:r>
    </w:p>
    <w:p w:rsidR="00637045" w:rsidRPr="002B7D90" w:rsidRDefault="00637045" w:rsidP="00F81D8E">
      <w:pPr>
        <w:pStyle w:val="ListParagraph"/>
        <w:numPr>
          <w:ilvl w:val="1"/>
          <w:numId w:val="3"/>
        </w:numPr>
        <w:rPr>
          <w:rFonts w:ascii="Calibri" w:hAnsi="Calibri"/>
          <w:sz w:val="22"/>
        </w:rPr>
      </w:pPr>
      <w:r w:rsidRPr="002B7D90">
        <w:rPr>
          <w:rFonts w:ascii="Calibri" w:hAnsi="Calibri"/>
          <w:sz w:val="22"/>
        </w:rPr>
        <w:lastRenderedPageBreak/>
        <w:t xml:space="preserve">The DEA rule does not create a definition for “inner liner”, and the Federal Register document explains this by saying the requirements of inner liners are described in § 1317.60.  </w:t>
      </w:r>
    </w:p>
    <w:p w:rsidR="00637045" w:rsidRPr="002B7D90" w:rsidRDefault="00637045" w:rsidP="00C31EA5">
      <w:pPr>
        <w:rPr>
          <w:rFonts w:ascii="Calibri" w:hAnsi="Calibri"/>
          <w:b/>
          <w:sz w:val="22"/>
        </w:rPr>
      </w:pPr>
    </w:p>
    <w:p w:rsidR="00637045" w:rsidRPr="002B7D90" w:rsidRDefault="00637045" w:rsidP="00C31EA5">
      <w:pPr>
        <w:rPr>
          <w:rFonts w:ascii="Calibri" w:hAnsi="Calibri"/>
          <w:b/>
          <w:sz w:val="22"/>
        </w:rPr>
      </w:pPr>
      <w:r w:rsidRPr="002B7D90">
        <w:rPr>
          <w:rFonts w:ascii="Calibri" w:hAnsi="Calibri"/>
          <w:b/>
          <w:sz w:val="22"/>
        </w:rPr>
        <w:t>Long-Term Care Facilities (LTCFs)</w:t>
      </w:r>
    </w:p>
    <w:p w:rsidR="00637045" w:rsidRPr="002B7D90" w:rsidRDefault="00637045" w:rsidP="00C31EA5">
      <w:pPr>
        <w:pStyle w:val="ListParagraph"/>
        <w:numPr>
          <w:ilvl w:val="1"/>
          <w:numId w:val="11"/>
        </w:numPr>
        <w:spacing w:line="276" w:lineRule="auto"/>
        <w:ind w:left="720"/>
        <w:rPr>
          <w:rFonts w:ascii="Calibri" w:hAnsi="Calibri"/>
          <w:sz w:val="22"/>
        </w:rPr>
      </w:pPr>
      <w:r w:rsidRPr="002B7D90">
        <w:rPr>
          <w:rFonts w:ascii="Calibri" w:hAnsi="Calibri"/>
          <w:sz w:val="22"/>
        </w:rPr>
        <w:t>LTCF is defined at § 1300.01(b) and “means a nursing home, retirement care, mental care or other facility or institution which provides extended health care to resident patients.”</w:t>
      </w:r>
    </w:p>
    <w:p w:rsidR="00637045" w:rsidRPr="002B7D90" w:rsidRDefault="00637045" w:rsidP="00C31EA5">
      <w:pPr>
        <w:pStyle w:val="ListParagraph"/>
        <w:numPr>
          <w:ilvl w:val="0"/>
          <w:numId w:val="23"/>
        </w:numPr>
        <w:rPr>
          <w:rFonts w:ascii="Calibri" w:hAnsi="Calibri"/>
          <w:sz w:val="22"/>
        </w:rPr>
      </w:pPr>
      <w:r w:rsidRPr="002B7D90">
        <w:rPr>
          <w:rFonts w:ascii="Calibri" w:hAnsi="Calibri"/>
          <w:sz w:val="22"/>
        </w:rPr>
        <w:t xml:space="preserve">Only authorized </w:t>
      </w:r>
      <w:r w:rsidRPr="002B7D90">
        <w:rPr>
          <w:rFonts w:ascii="Calibri" w:hAnsi="Calibri"/>
          <w:b/>
          <w:sz w:val="22"/>
        </w:rPr>
        <w:t>retail pharmacy registrants or hospital/clinic registrants with an on-site pharmacy</w:t>
      </w:r>
      <w:r w:rsidRPr="002B7D90">
        <w:rPr>
          <w:rFonts w:ascii="Calibri" w:hAnsi="Calibri"/>
          <w:sz w:val="22"/>
        </w:rPr>
        <w:t xml:space="preserve"> may operate a collection receptacle at a LTCF </w:t>
      </w:r>
      <w:r w:rsidRPr="002B7D90">
        <w:rPr>
          <w:rFonts w:ascii="Calibri" w:hAnsi="Calibri"/>
          <w:sz w:val="18"/>
          <w:szCs w:val="18"/>
        </w:rPr>
        <w:t>[§ 1317.80(b)]</w:t>
      </w:r>
      <w:r w:rsidRPr="002B7D90">
        <w:rPr>
          <w:rFonts w:ascii="Calibri" w:hAnsi="Calibri"/>
          <w:sz w:val="22"/>
        </w:rPr>
        <w:t>.</w:t>
      </w:r>
    </w:p>
    <w:p w:rsidR="00637045" w:rsidRPr="002B7D90" w:rsidRDefault="00637045" w:rsidP="00C31EA5">
      <w:pPr>
        <w:pStyle w:val="ListParagraph"/>
        <w:numPr>
          <w:ilvl w:val="0"/>
          <w:numId w:val="23"/>
        </w:numPr>
        <w:rPr>
          <w:rFonts w:ascii="Calibri" w:hAnsi="Calibri"/>
          <w:sz w:val="22"/>
        </w:rPr>
      </w:pPr>
      <w:r w:rsidRPr="002B7D90">
        <w:rPr>
          <w:rFonts w:ascii="Calibri" w:hAnsi="Calibri"/>
          <w:sz w:val="22"/>
        </w:rPr>
        <w:t xml:space="preserve">LTCF staff may dispose of CSs on behalf of resident ultimate users into an authorized collection receptacle managed on-site by an authorized collector </w:t>
      </w:r>
      <w:r w:rsidRPr="002B7D90">
        <w:rPr>
          <w:rFonts w:ascii="Calibri" w:hAnsi="Calibri"/>
          <w:sz w:val="18"/>
          <w:szCs w:val="18"/>
        </w:rPr>
        <w:t>[§ 1317.80(a)]</w:t>
      </w:r>
      <w:r w:rsidRPr="002B7D90">
        <w:rPr>
          <w:rFonts w:ascii="Calibri" w:hAnsi="Calibri"/>
          <w:sz w:val="22"/>
        </w:rPr>
        <w:t>.</w:t>
      </w:r>
    </w:p>
    <w:p w:rsidR="00637045" w:rsidRPr="002B7D90" w:rsidRDefault="00637045" w:rsidP="00C31EA5">
      <w:pPr>
        <w:pStyle w:val="ListParagraph"/>
        <w:numPr>
          <w:ilvl w:val="0"/>
          <w:numId w:val="23"/>
        </w:numPr>
        <w:rPr>
          <w:rFonts w:ascii="Calibri" w:hAnsi="Calibri"/>
          <w:sz w:val="22"/>
        </w:rPr>
      </w:pPr>
      <w:r w:rsidRPr="002B7D90">
        <w:rPr>
          <w:rFonts w:ascii="Calibri" w:hAnsi="Calibri"/>
          <w:sz w:val="22"/>
        </w:rPr>
        <w:t xml:space="preserve">Such disposal must occur within 3 business days after the discontinuation of use by the ultimate user </w:t>
      </w:r>
      <w:r w:rsidRPr="002B7D90">
        <w:rPr>
          <w:rFonts w:ascii="Calibri" w:hAnsi="Calibri"/>
          <w:sz w:val="18"/>
          <w:szCs w:val="18"/>
        </w:rPr>
        <w:t>[§ 1317.80(a)]</w:t>
      </w:r>
      <w:r w:rsidRPr="002B7D90">
        <w:rPr>
          <w:rFonts w:ascii="Calibri" w:hAnsi="Calibri"/>
          <w:sz w:val="22"/>
        </w:rPr>
        <w:t xml:space="preserve">.  LTCFs may store sealed inner liners for up to 3 business days in a controlled access room. </w:t>
      </w:r>
      <w:r w:rsidRPr="002B7D90">
        <w:rPr>
          <w:rFonts w:ascii="Calibri" w:hAnsi="Calibri"/>
          <w:sz w:val="18"/>
          <w:szCs w:val="18"/>
        </w:rPr>
        <w:t>[§ 1317.80(d)]</w:t>
      </w:r>
    </w:p>
    <w:p w:rsidR="00637045" w:rsidRPr="002B7D90" w:rsidRDefault="00637045" w:rsidP="00C31EA5">
      <w:pPr>
        <w:pStyle w:val="ListParagraph"/>
        <w:numPr>
          <w:ilvl w:val="0"/>
          <w:numId w:val="23"/>
        </w:numPr>
        <w:rPr>
          <w:rFonts w:ascii="Calibri" w:hAnsi="Calibri"/>
          <w:sz w:val="22"/>
        </w:rPr>
      </w:pPr>
      <w:r w:rsidRPr="002B7D90">
        <w:rPr>
          <w:rFonts w:ascii="Calibri" w:hAnsi="Calibri"/>
          <w:sz w:val="22"/>
        </w:rPr>
        <w:t xml:space="preserve">Only the authorized collector (retail pharmacy or hospital/clinic registrant) may manage the collection receptacle at the LTCF, including removal of the inner liner, following protocols as noted above </w:t>
      </w:r>
      <w:r w:rsidRPr="002B7D90">
        <w:rPr>
          <w:rFonts w:ascii="Calibri" w:hAnsi="Calibri"/>
          <w:sz w:val="18"/>
          <w:szCs w:val="18"/>
        </w:rPr>
        <w:t>[§ 1317.80(b)]</w:t>
      </w:r>
      <w:r w:rsidRPr="002B7D90">
        <w:rPr>
          <w:rFonts w:ascii="Calibri" w:hAnsi="Calibri"/>
          <w:sz w:val="22"/>
        </w:rPr>
        <w:t xml:space="preserve">. The inner liner may be removed by one employee of the collector and one supervisory-level employee of the LTCF </w:t>
      </w:r>
      <w:r w:rsidRPr="002B7D90">
        <w:rPr>
          <w:rFonts w:ascii="Calibri" w:hAnsi="Calibri"/>
          <w:sz w:val="18"/>
          <w:szCs w:val="18"/>
        </w:rPr>
        <w:t>[§ 1317.80(c)].</w:t>
      </w:r>
    </w:p>
    <w:p w:rsidR="00637045" w:rsidRPr="002B7D90" w:rsidRDefault="00637045" w:rsidP="00C31EA5">
      <w:pPr>
        <w:pStyle w:val="ListParagraph"/>
        <w:numPr>
          <w:ilvl w:val="0"/>
          <w:numId w:val="23"/>
        </w:numPr>
        <w:rPr>
          <w:rFonts w:ascii="Calibri" w:hAnsi="Calibri"/>
          <w:sz w:val="22"/>
        </w:rPr>
      </w:pPr>
      <w:r w:rsidRPr="002B7D90">
        <w:rPr>
          <w:rFonts w:ascii="Calibri" w:hAnsi="Calibri"/>
          <w:sz w:val="22"/>
        </w:rPr>
        <w:t xml:space="preserve">Each physical location of a LTCF collection receptacle must be included in a retail pharmacy’s or a hospital/clinic with an on-site pharmacy’s application to modify its DEA registration </w:t>
      </w:r>
      <w:r w:rsidRPr="002B7D90">
        <w:rPr>
          <w:rFonts w:ascii="Calibri" w:hAnsi="Calibri"/>
          <w:sz w:val="18"/>
          <w:szCs w:val="18"/>
        </w:rPr>
        <w:t>[§1301.51(b)(2)]</w:t>
      </w:r>
      <w:r w:rsidRPr="002B7D90">
        <w:rPr>
          <w:rFonts w:ascii="Calibri" w:hAnsi="Calibri"/>
          <w:sz w:val="22"/>
        </w:rPr>
        <w:t>.</w:t>
      </w:r>
    </w:p>
    <w:p w:rsidR="00637045" w:rsidRPr="002B7D90" w:rsidRDefault="00637045" w:rsidP="00C31EA5">
      <w:pPr>
        <w:pStyle w:val="ListParagraph"/>
        <w:numPr>
          <w:ilvl w:val="0"/>
          <w:numId w:val="23"/>
        </w:numPr>
        <w:rPr>
          <w:rFonts w:ascii="Calibri" w:hAnsi="Calibri"/>
          <w:sz w:val="22"/>
        </w:rPr>
      </w:pPr>
      <w:r w:rsidRPr="002B7D90">
        <w:rPr>
          <w:rFonts w:ascii="Calibri" w:hAnsi="Calibri"/>
          <w:sz w:val="22"/>
        </w:rPr>
        <w:t xml:space="preserve">All disposal options are available to ultimate users who reside in, or resided in, LTCFs; for example, mail-back packages can be used </w:t>
      </w:r>
      <w:r w:rsidRPr="002B7D90">
        <w:rPr>
          <w:rFonts w:ascii="Calibri" w:hAnsi="Calibri"/>
          <w:sz w:val="18"/>
          <w:szCs w:val="18"/>
        </w:rPr>
        <w:t>[Federal Register 79 (174): page 53541].</w:t>
      </w:r>
    </w:p>
    <w:p w:rsidR="00637045" w:rsidRPr="002B7D90" w:rsidRDefault="00637045" w:rsidP="00C31EA5">
      <w:pPr>
        <w:pStyle w:val="ListParagraph"/>
        <w:numPr>
          <w:ilvl w:val="0"/>
          <w:numId w:val="23"/>
        </w:numPr>
        <w:rPr>
          <w:rFonts w:ascii="Calibri" w:hAnsi="Calibri"/>
          <w:sz w:val="22"/>
        </w:rPr>
      </w:pPr>
      <w:r w:rsidRPr="002B7D90">
        <w:rPr>
          <w:rFonts w:ascii="Calibri" w:hAnsi="Calibri"/>
          <w:sz w:val="22"/>
        </w:rPr>
        <w:t xml:space="preserve">Without a collection receptacle, the LTCF is not permitted to dispose of a CS on behalf of an ultimate user. The ultimate user residing in the LTCF, or persons lawfully entitled to dispose of a decedent’s property, may dispose of the CS using the methods available to any ultimate user outside of the LTCF. </w:t>
      </w:r>
      <w:r w:rsidRPr="002B7D90">
        <w:rPr>
          <w:rFonts w:ascii="Calibri" w:hAnsi="Calibri"/>
          <w:sz w:val="18"/>
          <w:szCs w:val="18"/>
        </w:rPr>
        <w:t>[Federal Register 79 (174): page 53542]</w:t>
      </w:r>
    </w:p>
    <w:p w:rsidR="00637045" w:rsidRPr="002B7D90" w:rsidRDefault="00637045" w:rsidP="00C31EA5">
      <w:pPr>
        <w:rPr>
          <w:rFonts w:ascii="Calibri" w:hAnsi="Calibri"/>
          <w:color w:val="00B050"/>
          <w:sz w:val="22"/>
        </w:rPr>
      </w:pPr>
    </w:p>
    <w:p w:rsidR="00637045" w:rsidRPr="002B7D90" w:rsidRDefault="00637045" w:rsidP="00C31EA5">
      <w:pPr>
        <w:rPr>
          <w:rFonts w:ascii="Calibri" w:hAnsi="Calibri"/>
          <w:b/>
          <w:sz w:val="22"/>
        </w:rPr>
      </w:pPr>
      <w:r w:rsidRPr="002B7D90">
        <w:rPr>
          <w:rFonts w:ascii="Calibri" w:hAnsi="Calibri"/>
          <w:b/>
          <w:sz w:val="22"/>
        </w:rPr>
        <w:t>Role of reverse distributors and distributors</w:t>
      </w:r>
    </w:p>
    <w:p w:rsidR="00637045" w:rsidRPr="002B7D90" w:rsidRDefault="00637045" w:rsidP="00C31EA5">
      <w:pPr>
        <w:pStyle w:val="ListParagraph"/>
        <w:numPr>
          <w:ilvl w:val="0"/>
          <w:numId w:val="5"/>
        </w:numPr>
        <w:rPr>
          <w:rFonts w:ascii="Calibri" w:hAnsi="Calibri"/>
          <w:sz w:val="22"/>
        </w:rPr>
      </w:pPr>
      <w:r w:rsidRPr="002B7D90">
        <w:rPr>
          <w:rFonts w:ascii="Calibri" w:hAnsi="Calibri"/>
          <w:sz w:val="22"/>
        </w:rPr>
        <w:t xml:space="preserve">The rule modifies the definition of reverse distributor and modifies some requirements for reverse distributors. </w:t>
      </w:r>
      <w:r w:rsidRPr="002B7D90">
        <w:rPr>
          <w:rFonts w:ascii="Calibri" w:hAnsi="Calibri"/>
          <w:sz w:val="18"/>
        </w:rPr>
        <w:t>[§ 1300.01(b) and § 1317.15]</w:t>
      </w:r>
    </w:p>
    <w:p w:rsidR="00637045" w:rsidRPr="002B7D90" w:rsidRDefault="00637045" w:rsidP="001B3447">
      <w:pPr>
        <w:pStyle w:val="ListParagraph"/>
        <w:numPr>
          <w:ilvl w:val="0"/>
          <w:numId w:val="5"/>
        </w:numPr>
        <w:autoSpaceDE w:val="0"/>
        <w:autoSpaceDN w:val="0"/>
        <w:adjustRightInd w:val="0"/>
        <w:rPr>
          <w:rFonts w:ascii="Calibri" w:hAnsi="Calibri"/>
          <w:sz w:val="22"/>
        </w:rPr>
      </w:pPr>
      <w:r w:rsidRPr="002B7D90">
        <w:rPr>
          <w:rFonts w:ascii="Calibri" w:hAnsi="Calibri"/>
          <w:sz w:val="22"/>
        </w:rPr>
        <w:t xml:space="preserve">The rule adds a definition for the term “reverse distribute” in § § 1300.01(b).  “Reverse distribute” for destruction can apply to both reverse distributors and other registrants authorized by the Disposal Act to accept controlled substances for destruction, e.g. forward distributors. </w:t>
      </w:r>
    </w:p>
    <w:p w:rsidR="00637045" w:rsidRPr="002B7D90" w:rsidRDefault="00637045" w:rsidP="00C31EA5">
      <w:pPr>
        <w:pStyle w:val="ListParagraph"/>
        <w:numPr>
          <w:ilvl w:val="0"/>
          <w:numId w:val="5"/>
        </w:numPr>
        <w:rPr>
          <w:rFonts w:ascii="Calibri" w:hAnsi="Calibri"/>
          <w:color w:val="000000"/>
          <w:sz w:val="22"/>
        </w:rPr>
      </w:pPr>
      <w:r w:rsidRPr="002B7D90">
        <w:rPr>
          <w:rFonts w:ascii="Calibri" w:hAnsi="Calibri"/>
          <w:color w:val="000000"/>
          <w:sz w:val="22"/>
        </w:rPr>
        <w:t xml:space="preserve">Reverse distributors can accept CSs that have been collected by law enforcement and other authorized collectors through collection receptacles and mail-back programs </w:t>
      </w:r>
      <w:r w:rsidRPr="002B7D90">
        <w:rPr>
          <w:rFonts w:ascii="Calibri" w:hAnsi="Calibri"/>
          <w:color w:val="000000"/>
          <w:sz w:val="18"/>
          <w:szCs w:val="18"/>
        </w:rPr>
        <w:t>[§ 1317.55(a)]</w:t>
      </w:r>
      <w:r w:rsidRPr="002B7D90">
        <w:rPr>
          <w:rFonts w:ascii="Calibri" w:hAnsi="Calibri"/>
          <w:color w:val="000000"/>
          <w:sz w:val="22"/>
        </w:rPr>
        <w:t>.</w:t>
      </w:r>
    </w:p>
    <w:p w:rsidR="00637045" w:rsidRPr="002B7D90" w:rsidRDefault="00637045" w:rsidP="00C31EA5">
      <w:pPr>
        <w:pStyle w:val="ListParagraph"/>
        <w:numPr>
          <w:ilvl w:val="0"/>
          <w:numId w:val="5"/>
        </w:numPr>
        <w:rPr>
          <w:rFonts w:ascii="Calibri" w:hAnsi="Calibri"/>
          <w:color w:val="000000"/>
          <w:sz w:val="22"/>
        </w:rPr>
      </w:pPr>
      <w:r w:rsidRPr="002B7D90">
        <w:rPr>
          <w:rFonts w:ascii="Calibri" w:hAnsi="Calibri"/>
          <w:color w:val="000000"/>
          <w:sz w:val="22"/>
        </w:rPr>
        <w:t xml:space="preserve">Distributors can also accept CSs from authorized collectors through collection receptacles </w:t>
      </w:r>
      <w:r w:rsidRPr="002B7D90">
        <w:rPr>
          <w:rFonts w:ascii="Calibri" w:hAnsi="Calibri"/>
          <w:color w:val="000000"/>
          <w:sz w:val="18"/>
          <w:szCs w:val="18"/>
        </w:rPr>
        <w:t>[§ 13§ § 1317.55(b)]</w:t>
      </w:r>
      <w:r w:rsidRPr="002B7D90">
        <w:rPr>
          <w:rFonts w:ascii="Calibri" w:hAnsi="Calibri"/>
          <w:color w:val="000000"/>
          <w:sz w:val="22"/>
        </w:rPr>
        <w:t>.</w:t>
      </w:r>
    </w:p>
    <w:p w:rsidR="00637045" w:rsidRPr="002B7D90" w:rsidRDefault="00637045" w:rsidP="00C31EA5">
      <w:pPr>
        <w:pStyle w:val="ListParagraph"/>
        <w:numPr>
          <w:ilvl w:val="0"/>
          <w:numId w:val="5"/>
        </w:numPr>
        <w:rPr>
          <w:rFonts w:ascii="Calibri" w:hAnsi="Calibri"/>
          <w:sz w:val="18"/>
        </w:rPr>
      </w:pPr>
      <w:r w:rsidRPr="002B7D90">
        <w:rPr>
          <w:rFonts w:ascii="Calibri" w:hAnsi="Calibri"/>
          <w:sz w:val="22"/>
        </w:rPr>
        <w:t xml:space="preserve">Reverse distributors must destroy CSs no later than 30 days from pick-up or receipt. </w:t>
      </w:r>
      <w:r w:rsidRPr="002B7D90">
        <w:rPr>
          <w:rFonts w:ascii="Calibri" w:hAnsi="Calibri"/>
          <w:sz w:val="18"/>
        </w:rPr>
        <w:t>[§ 1317.15(d)]</w:t>
      </w:r>
    </w:p>
    <w:p w:rsidR="00637045" w:rsidRPr="002B7D90" w:rsidRDefault="00637045" w:rsidP="00C31EA5">
      <w:pPr>
        <w:pStyle w:val="ListParagraph"/>
        <w:numPr>
          <w:ilvl w:val="0"/>
          <w:numId w:val="5"/>
        </w:numPr>
        <w:rPr>
          <w:rFonts w:ascii="Calibri" w:hAnsi="Calibri"/>
          <w:sz w:val="22"/>
        </w:rPr>
      </w:pPr>
      <w:r w:rsidRPr="002B7D90">
        <w:rPr>
          <w:rFonts w:ascii="Calibri" w:hAnsi="Calibri"/>
          <w:sz w:val="22"/>
        </w:rPr>
        <w:t xml:space="preserve">Reverse distributors must keep records of receipt, storage, transfer and destruction of CS mail-back packages and inner liners </w:t>
      </w:r>
      <w:r w:rsidRPr="002B7D90">
        <w:rPr>
          <w:rFonts w:ascii="Calibri" w:hAnsi="Calibri"/>
          <w:sz w:val="18"/>
          <w:szCs w:val="18"/>
        </w:rPr>
        <w:t>[§ 1304]</w:t>
      </w:r>
      <w:r w:rsidRPr="002B7D90">
        <w:rPr>
          <w:rFonts w:ascii="Calibri" w:hAnsi="Calibri"/>
          <w:sz w:val="22"/>
        </w:rPr>
        <w:t xml:space="preserve">, but cannot open or inventory the contents of packages </w:t>
      </w:r>
      <w:r w:rsidRPr="002B7D90">
        <w:rPr>
          <w:rFonts w:ascii="Calibri" w:hAnsi="Calibri"/>
          <w:sz w:val="18"/>
          <w:szCs w:val="18"/>
        </w:rPr>
        <w:t>[§ 1317.70(f)]</w:t>
      </w:r>
      <w:r w:rsidRPr="002B7D90">
        <w:rPr>
          <w:rFonts w:ascii="Calibri" w:hAnsi="Calibri"/>
          <w:sz w:val="22"/>
        </w:rPr>
        <w:t xml:space="preserve"> or liners </w:t>
      </w:r>
      <w:r w:rsidRPr="002B7D90">
        <w:rPr>
          <w:rFonts w:ascii="Calibri" w:hAnsi="Calibri"/>
          <w:sz w:val="18"/>
          <w:szCs w:val="18"/>
        </w:rPr>
        <w:t>[§ 1317.75(c)].</w:t>
      </w:r>
      <w:r w:rsidRPr="002B7D90">
        <w:rPr>
          <w:rFonts w:ascii="Calibri" w:hAnsi="Calibri"/>
          <w:sz w:val="22"/>
        </w:rPr>
        <w:t xml:space="preserve"> </w:t>
      </w:r>
    </w:p>
    <w:p w:rsidR="00637045" w:rsidRPr="002B7D90" w:rsidRDefault="00637045" w:rsidP="00C31EA5">
      <w:pPr>
        <w:pStyle w:val="ListParagraph"/>
        <w:numPr>
          <w:ilvl w:val="0"/>
          <w:numId w:val="5"/>
        </w:numPr>
        <w:rPr>
          <w:rFonts w:ascii="Calibri" w:hAnsi="Calibri"/>
          <w:sz w:val="18"/>
        </w:rPr>
      </w:pPr>
      <w:r w:rsidRPr="002B7D90">
        <w:rPr>
          <w:rFonts w:ascii="Calibri" w:hAnsi="Calibri"/>
          <w:sz w:val="22"/>
        </w:rPr>
        <w:t xml:space="preserve">Authorized collectors, including reverse distributors and distributors, are exempt from reporting through the ARCOS system for controlled substances collected through collection receptacles and mail-back programs. </w:t>
      </w:r>
      <w:r w:rsidRPr="002B7D90">
        <w:rPr>
          <w:rFonts w:ascii="Calibri" w:hAnsi="Calibri"/>
          <w:sz w:val="18"/>
        </w:rPr>
        <w:t>[§ 1304.33(g)]</w:t>
      </w:r>
    </w:p>
    <w:p w:rsidR="00637045" w:rsidRPr="002B7D90" w:rsidRDefault="00637045" w:rsidP="00C31EA5">
      <w:pPr>
        <w:pStyle w:val="ListParagraph"/>
        <w:ind w:left="0"/>
        <w:rPr>
          <w:rFonts w:ascii="Calibri" w:hAnsi="Calibri"/>
          <w:color w:val="00B050"/>
          <w:sz w:val="22"/>
        </w:rPr>
      </w:pPr>
    </w:p>
    <w:p w:rsidR="00637045" w:rsidRPr="002B7D90" w:rsidRDefault="00637045" w:rsidP="00C31EA5">
      <w:pPr>
        <w:pStyle w:val="ListParagraph"/>
        <w:ind w:left="0"/>
        <w:rPr>
          <w:rFonts w:ascii="Calibri" w:hAnsi="Calibri"/>
          <w:b/>
          <w:sz w:val="22"/>
        </w:rPr>
      </w:pPr>
      <w:r w:rsidRPr="002B7D90">
        <w:rPr>
          <w:rFonts w:ascii="Calibri" w:hAnsi="Calibri"/>
          <w:b/>
          <w:sz w:val="22"/>
        </w:rPr>
        <w:lastRenderedPageBreak/>
        <w:t>Disposal</w:t>
      </w:r>
    </w:p>
    <w:p w:rsidR="00637045" w:rsidRPr="002B7D90" w:rsidRDefault="00637045" w:rsidP="00C31EA5">
      <w:pPr>
        <w:pStyle w:val="ListParagraph"/>
        <w:numPr>
          <w:ilvl w:val="0"/>
          <w:numId w:val="18"/>
        </w:numPr>
        <w:rPr>
          <w:rFonts w:ascii="Calibri" w:hAnsi="Calibri"/>
          <w:sz w:val="22"/>
        </w:rPr>
      </w:pPr>
      <w:r w:rsidRPr="002B7D90">
        <w:rPr>
          <w:rFonts w:ascii="Calibri" w:hAnsi="Calibri"/>
          <w:b/>
          <w:sz w:val="22"/>
        </w:rPr>
        <w:t>Destruction</w:t>
      </w:r>
      <w:r w:rsidRPr="002B7D90">
        <w:rPr>
          <w:rFonts w:ascii="Calibri" w:hAnsi="Calibri"/>
          <w:sz w:val="22"/>
        </w:rPr>
        <w:t xml:space="preserve"> means that collected CSs must be rendered “</w:t>
      </w:r>
      <w:r w:rsidRPr="002B7D90">
        <w:rPr>
          <w:rFonts w:ascii="Calibri" w:hAnsi="Calibri"/>
          <w:b/>
          <w:sz w:val="22"/>
        </w:rPr>
        <w:t>non-retrievable</w:t>
      </w:r>
      <w:r w:rsidRPr="002B7D90">
        <w:rPr>
          <w:rFonts w:ascii="Calibri" w:hAnsi="Calibri"/>
          <w:sz w:val="22"/>
        </w:rPr>
        <w:t xml:space="preserve">” – to permanently alter any controlled substance’s physical and/or chemical condition or state through irreversible means in order to render that controlled substance unavailable and unusable for all practical purposes </w:t>
      </w:r>
      <w:r w:rsidRPr="002B7D90">
        <w:rPr>
          <w:rFonts w:ascii="Calibri" w:hAnsi="Calibri"/>
          <w:sz w:val="18"/>
          <w:szCs w:val="18"/>
        </w:rPr>
        <w:t>[§ 1317.90(a) and § 1300.05(b)]</w:t>
      </w:r>
      <w:r w:rsidRPr="002B7D90">
        <w:rPr>
          <w:rFonts w:ascii="Calibri" w:hAnsi="Calibri"/>
          <w:sz w:val="22"/>
        </w:rPr>
        <w:t>.</w:t>
      </w:r>
    </w:p>
    <w:p w:rsidR="00637045" w:rsidRPr="002B7D90" w:rsidRDefault="00637045" w:rsidP="0083451F">
      <w:pPr>
        <w:pStyle w:val="ListParagraph"/>
        <w:numPr>
          <w:ilvl w:val="0"/>
          <w:numId w:val="18"/>
        </w:numPr>
        <w:autoSpaceDE w:val="0"/>
        <w:autoSpaceDN w:val="0"/>
        <w:adjustRightInd w:val="0"/>
        <w:rPr>
          <w:rFonts w:ascii="Calibri" w:hAnsi="Calibri"/>
          <w:sz w:val="22"/>
        </w:rPr>
      </w:pPr>
      <w:r w:rsidRPr="002B7D90">
        <w:rPr>
          <w:rFonts w:ascii="Calibri" w:hAnsi="Calibri"/>
          <w:sz w:val="22"/>
        </w:rPr>
        <w:t>The destruction standard is not prescribed otherwise. Examples of current technology that may achieve the non-retrievable standard are incineration and chemical digestion.  “</w:t>
      </w:r>
      <w:r w:rsidRPr="002B7D90">
        <w:rPr>
          <w:rFonts w:ascii="Calibri" w:hAnsi="Calibri" w:cs="Melior"/>
          <w:sz w:val="22"/>
        </w:rPr>
        <w:t>The DEA will not evaluate, review, or approve the processes or methods utilized to render a controlled substance non-retrievable, as long as the desired result is achieved.”</w:t>
      </w:r>
      <w:r w:rsidRPr="002B7D90">
        <w:rPr>
          <w:rFonts w:ascii="Calibri" w:hAnsi="Calibri"/>
          <w:sz w:val="22"/>
        </w:rPr>
        <w:t xml:space="preserve">  </w:t>
      </w:r>
      <w:r w:rsidRPr="002B7D90">
        <w:rPr>
          <w:rFonts w:ascii="Calibri" w:hAnsi="Calibri"/>
          <w:sz w:val="18"/>
          <w:szCs w:val="18"/>
        </w:rPr>
        <w:t>[Federal Register 79 (174):  page 53547, column 3, Issue 1]</w:t>
      </w:r>
    </w:p>
    <w:p w:rsidR="00637045" w:rsidRPr="002B7D90" w:rsidRDefault="00637045" w:rsidP="00C31EA5">
      <w:pPr>
        <w:pStyle w:val="ListParagraph"/>
        <w:numPr>
          <w:ilvl w:val="0"/>
          <w:numId w:val="18"/>
        </w:numPr>
        <w:rPr>
          <w:rFonts w:ascii="Calibri" w:hAnsi="Calibri"/>
          <w:sz w:val="22"/>
        </w:rPr>
      </w:pPr>
      <w:r w:rsidRPr="002B7D90">
        <w:rPr>
          <w:rFonts w:ascii="Calibri" w:hAnsi="Calibri"/>
          <w:b/>
          <w:sz w:val="22"/>
        </w:rPr>
        <w:t>“…[S]</w:t>
      </w:r>
      <w:proofErr w:type="spellStart"/>
      <w:r w:rsidRPr="002B7D90">
        <w:rPr>
          <w:rFonts w:ascii="Calibri" w:hAnsi="Calibri"/>
          <w:b/>
          <w:sz w:val="22"/>
        </w:rPr>
        <w:t>ewering</w:t>
      </w:r>
      <w:proofErr w:type="spellEnd"/>
      <w:r w:rsidRPr="002B7D90">
        <w:rPr>
          <w:rFonts w:ascii="Calibri" w:hAnsi="Calibri"/>
          <w:b/>
          <w:sz w:val="22"/>
        </w:rPr>
        <w:t xml:space="preserve"> (disposal by flushing down a toilet or drain) and landfill disposal (mixing controlled substances with undesirable items such as kitty litter or coffee grounds and depositing in a garbage collection) are examples of current methods of disposal that do not meet the non-retrievable standard.”</w:t>
      </w:r>
      <w:r w:rsidRPr="002B7D90">
        <w:rPr>
          <w:rFonts w:ascii="Calibri" w:hAnsi="Calibri"/>
          <w:sz w:val="22"/>
        </w:rPr>
        <w:t xml:space="preserve"> </w:t>
      </w:r>
      <w:r w:rsidRPr="002B7D90">
        <w:rPr>
          <w:rFonts w:ascii="Calibri" w:hAnsi="Calibri"/>
          <w:sz w:val="18"/>
          <w:szCs w:val="18"/>
        </w:rPr>
        <w:t>[</w:t>
      </w:r>
      <w:r w:rsidRPr="002B7D90">
        <w:rPr>
          <w:rFonts w:ascii="Calibri" w:hAnsi="Calibri"/>
          <w:i/>
          <w:sz w:val="18"/>
          <w:szCs w:val="18"/>
        </w:rPr>
        <w:t>Federal Register</w:t>
      </w:r>
      <w:r w:rsidRPr="002B7D90">
        <w:rPr>
          <w:rFonts w:ascii="Calibri" w:hAnsi="Calibri"/>
          <w:sz w:val="18"/>
          <w:szCs w:val="18"/>
        </w:rPr>
        <w:t xml:space="preserve"> 79 (174): 53548].  </w:t>
      </w:r>
    </w:p>
    <w:p w:rsidR="00637045" w:rsidRPr="002B7D90" w:rsidRDefault="00637045" w:rsidP="00EA12DF">
      <w:pPr>
        <w:numPr>
          <w:ilvl w:val="0"/>
          <w:numId w:val="18"/>
        </w:numPr>
        <w:rPr>
          <w:rFonts w:ascii="Calibri" w:hAnsi="Calibri"/>
          <w:color w:val="00B050"/>
          <w:sz w:val="22"/>
        </w:rPr>
      </w:pPr>
      <w:r w:rsidRPr="002B7D90">
        <w:rPr>
          <w:rFonts w:ascii="Calibri" w:hAnsi="Calibri"/>
          <w:b/>
          <w:sz w:val="22"/>
        </w:rPr>
        <w:t>Destruction methods must meet all applicable federal, state, tribal, and local laws and regulations</w:t>
      </w:r>
      <w:r w:rsidRPr="002B7D90">
        <w:rPr>
          <w:rFonts w:ascii="Calibri" w:hAnsi="Calibri"/>
          <w:sz w:val="22"/>
        </w:rPr>
        <w:t xml:space="preserve"> </w:t>
      </w:r>
      <w:r w:rsidRPr="002B7D90">
        <w:rPr>
          <w:rFonts w:ascii="Calibri" w:hAnsi="Calibri"/>
          <w:sz w:val="18"/>
          <w:szCs w:val="18"/>
        </w:rPr>
        <w:t>[§ 13§ § 1317.90(a)]</w:t>
      </w:r>
      <w:r w:rsidRPr="002B7D90">
        <w:rPr>
          <w:rFonts w:ascii="Calibri" w:hAnsi="Calibri"/>
          <w:sz w:val="22"/>
        </w:rPr>
        <w:t xml:space="preserve">. </w:t>
      </w:r>
    </w:p>
    <w:p w:rsidR="00637045" w:rsidRPr="002B7D90" w:rsidRDefault="00637045" w:rsidP="00EA12DF">
      <w:pPr>
        <w:pStyle w:val="ListParagraph"/>
        <w:numPr>
          <w:ilvl w:val="0"/>
          <w:numId w:val="18"/>
        </w:numPr>
        <w:rPr>
          <w:rFonts w:ascii="Calibri" w:hAnsi="Calibri"/>
          <w:sz w:val="22"/>
        </w:rPr>
      </w:pPr>
      <w:r w:rsidRPr="002B7D90">
        <w:rPr>
          <w:rFonts w:ascii="Calibri" w:hAnsi="Calibri"/>
          <w:sz w:val="22"/>
          <w:szCs w:val="18"/>
        </w:rPr>
        <w:t xml:space="preserve">These standards apply to controlled substances collected by authorized collectors and law enforcement, but not to ultimate users who may also continue to use the disposal guidance provided by Food &amp; Drug Administration and the Office of National Drug Control Policy </w:t>
      </w:r>
      <w:r w:rsidRPr="002B7D90">
        <w:rPr>
          <w:rFonts w:ascii="Calibri" w:hAnsi="Calibri"/>
          <w:sz w:val="18"/>
          <w:szCs w:val="18"/>
        </w:rPr>
        <w:t>[Federal Register 79 (174):  page 53547]</w:t>
      </w:r>
      <w:r w:rsidRPr="002B7D90">
        <w:rPr>
          <w:rFonts w:ascii="Calibri" w:hAnsi="Calibri"/>
          <w:sz w:val="22"/>
          <w:szCs w:val="18"/>
        </w:rPr>
        <w:t>.</w:t>
      </w:r>
    </w:p>
    <w:p w:rsidR="00637045" w:rsidRPr="002B7D90" w:rsidRDefault="00637045" w:rsidP="00EA12DF">
      <w:pPr>
        <w:spacing w:after="240"/>
        <w:ind w:left="720"/>
        <w:rPr>
          <w:rFonts w:ascii="Calibri" w:hAnsi="Calibri"/>
          <w:color w:val="00B050"/>
          <w:sz w:val="22"/>
        </w:rPr>
      </w:pPr>
    </w:p>
    <w:sectPr w:rsidR="00637045" w:rsidRPr="002B7D90" w:rsidSect="008832C7">
      <w:headerReference w:type="default" r:id="rId12"/>
      <w:footerReference w:type="default" r:id="rId13"/>
      <w:footerReference w:type="first" r:id="rId14"/>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045" w:rsidRDefault="00637045" w:rsidP="00475B12">
      <w:r>
        <w:separator/>
      </w:r>
    </w:p>
  </w:endnote>
  <w:endnote w:type="continuationSeparator" w:id="0">
    <w:p w:rsidR="00637045" w:rsidRDefault="00637045" w:rsidP="0047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45" w:rsidRDefault="00637045" w:rsidP="00C91C08">
    <w:pPr>
      <w:pStyle w:val="Footer"/>
      <w:jc w:val="right"/>
    </w:pPr>
    <w:r>
      <w:rPr>
        <w:rFonts w:ascii="Calibri" w:hAnsi="Calibri"/>
        <w:i/>
        <w:sz w:val="18"/>
        <w:szCs w:val="18"/>
      </w:rPr>
      <w:t xml:space="preserve">September 18, 2014.                                                                                                                                                                          </w:t>
    </w:r>
    <w:r w:rsidRPr="005C5A09">
      <w:rPr>
        <w:sz w:val="20"/>
      </w:rPr>
      <w:t xml:space="preserve">Page </w:t>
    </w:r>
    <w:r w:rsidRPr="005C5A09">
      <w:rPr>
        <w:b/>
        <w:bCs/>
        <w:sz w:val="20"/>
      </w:rPr>
      <w:fldChar w:fldCharType="begin"/>
    </w:r>
    <w:r w:rsidRPr="005C5A09">
      <w:rPr>
        <w:b/>
        <w:bCs/>
        <w:sz w:val="20"/>
      </w:rPr>
      <w:instrText xml:space="preserve"> PAGE </w:instrText>
    </w:r>
    <w:r w:rsidRPr="005C5A09">
      <w:rPr>
        <w:b/>
        <w:bCs/>
        <w:sz w:val="20"/>
      </w:rPr>
      <w:fldChar w:fldCharType="separate"/>
    </w:r>
    <w:r w:rsidR="00FB1506">
      <w:rPr>
        <w:b/>
        <w:bCs/>
        <w:noProof/>
        <w:sz w:val="20"/>
      </w:rPr>
      <w:t>2</w:t>
    </w:r>
    <w:r w:rsidRPr="005C5A09">
      <w:rPr>
        <w:b/>
        <w:bCs/>
        <w:sz w:val="20"/>
      </w:rPr>
      <w:fldChar w:fldCharType="end"/>
    </w:r>
    <w:r w:rsidRPr="005C5A09">
      <w:rPr>
        <w:sz w:val="20"/>
      </w:rPr>
      <w:t xml:space="preserve"> of </w:t>
    </w:r>
    <w:r w:rsidRPr="005C5A09">
      <w:rPr>
        <w:b/>
        <w:bCs/>
        <w:sz w:val="20"/>
      </w:rPr>
      <w:fldChar w:fldCharType="begin"/>
    </w:r>
    <w:r w:rsidRPr="005C5A09">
      <w:rPr>
        <w:b/>
        <w:bCs/>
        <w:sz w:val="20"/>
      </w:rPr>
      <w:instrText xml:space="preserve"> NUMPAGES  </w:instrText>
    </w:r>
    <w:r w:rsidRPr="005C5A09">
      <w:rPr>
        <w:b/>
        <w:bCs/>
        <w:sz w:val="20"/>
      </w:rPr>
      <w:fldChar w:fldCharType="separate"/>
    </w:r>
    <w:r w:rsidR="00FB1506">
      <w:rPr>
        <w:b/>
        <w:bCs/>
        <w:noProof/>
        <w:sz w:val="20"/>
      </w:rPr>
      <w:t>8</w:t>
    </w:r>
    <w:r w:rsidRPr="005C5A09">
      <w:rPr>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45" w:rsidRPr="00617842" w:rsidRDefault="00637045" w:rsidP="002839DE">
    <w:pPr>
      <w:pBdr>
        <w:top w:val="single" w:sz="4" w:space="1" w:color="auto"/>
      </w:pBdr>
      <w:rPr>
        <w:rFonts w:ascii="Calibri" w:hAnsi="Calibri"/>
        <w:i/>
        <w:sz w:val="18"/>
        <w:szCs w:val="18"/>
      </w:rPr>
    </w:pPr>
    <w:r>
      <w:rPr>
        <w:rFonts w:ascii="Calibri" w:hAnsi="Calibri"/>
        <w:i/>
        <w:sz w:val="18"/>
        <w:szCs w:val="18"/>
      </w:rPr>
      <w:t xml:space="preserve">September 18, 2014.  </w:t>
    </w:r>
    <w:r>
      <w:rPr>
        <w:rFonts w:ascii="Calibri" w:hAnsi="Calibri"/>
        <w:i/>
        <w:sz w:val="18"/>
        <w:szCs w:val="18"/>
      </w:rPr>
      <w:br/>
    </w:r>
    <w:r w:rsidRPr="0062006F">
      <w:rPr>
        <w:rFonts w:ascii="Calibri" w:hAnsi="Calibri"/>
        <w:i/>
        <w:sz w:val="18"/>
        <w:szCs w:val="18"/>
      </w:rPr>
      <w:t xml:space="preserve">This summary has been prepared by the Local Hazardous Waste Management Program in </w:t>
    </w:r>
    <w:smartTag w:uri="urn:schemas-microsoft-com:office:smarttags" w:element="place">
      <w:smartTag w:uri="urn:schemas-microsoft-com:office:smarttags" w:element="PlaceName">
        <w:r w:rsidRPr="0062006F">
          <w:rPr>
            <w:rFonts w:ascii="Calibri" w:hAnsi="Calibri"/>
            <w:i/>
            <w:sz w:val="18"/>
            <w:szCs w:val="18"/>
          </w:rPr>
          <w:t>K</w:t>
        </w:r>
        <w:r>
          <w:rPr>
            <w:rFonts w:ascii="Calibri" w:hAnsi="Calibri"/>
            <w:i/>
            <w:sz w:val="18"/>
            <w:szCs w:val="18"/>
          </w:rPr>
          <w:t>ing</w:t>
        </w:r>
      </w:smartTag>
      <w:r>
        <w:rPr>
          <w:rFonts w:ascii="Calibri" w:hAnsi="Calibri"/>
          <w:i/>
          <w:sz w:val="18"/>
          <w:szCs w:val="18"/>
        </w:rPr>
        <w:t xml:space="preserve"> </w:t>
      </w:r>
      <w:smartTag w:uri="urn:schemas-microsoft-com:office:smarttags" w:element="PlaceType">
        <w:r>
          <w:rPr>
            <w:rFonts w:ascii="Calibri" w:hAnsi="Calibri"/>
            <w:i/>
            <w:sz w:val="18"/>
            <w:szCs w:val="18"/>
          </w:rPr>
          <w:t>County</w:t>
        </w:r>
      </w:smartTag>
    </w:smartTag>
    <w:r>
      <w:rPr>
        <w:rFonts w:ascii="Calibri" w:hAnsi="Calibri"/>
        <w:i/>
        <w:sz w:val="18"/>
        <w:szCs w:val="18"/>
      </w:rPr>
      <w:t xml:space="preserve"> (WA), with input from the Product Stewardship Institute and other experts on medicine take-back</w:t>
    </w:r>
    <w:r w:rsidRPr="0062006F">
      <w:rPr>
        <w:rFonts w:ascii="Calibri" w:hAnsi="Calibri"/>
        <w:i/>
        <w:sz w:val="18"/>
        <w:szCs w:val="18"/>
      </w:rPr>
      <w:t xml:space="preserve">.  </w:t>
    </w:r>
    <w:r>
      <w:rPr>
        <w:rFonts w:ascii="Calibri" w:hAnsi="Calibri"/>
        <w:i/>
        <w:sz w:val="18"/>
        <w:szCs w:val="18"/>
      </w:rPr>
      <w:t xml:space="preserve">Please send comments on any interpretations in this summary to Dave Galvin and Margaret Shield at </w:t>
    </w:r>
    <w:hyperlink r:id="rId1" w:history="1">
      <w:r w:rsidRPr="005F3A40">
        <w:rPr>
          <w:rStyle w:val="Hyperlink"/>
          <w:rFonts w:ascii="Calibri" w:hAnsi="Calibri"/>
          <w:i/>
          <w:sz w:val="18"/>
          <w:szCs w:val="18"/>
        </w:rPr>
        <w:t>dave.galvin@kingcounty.gov</w:t>
      </w:r>
    </w:hyperlink>
    <w:r>
      <w:rPr>
        <w:rFonts w:ascii="Calibri" w:hAnsi="Calibri"/>
        <w:i/>
        <w:sz w:val="18"/>
        <w:szCs w:val="18"/>
      </w:rPr>
      <w:t xml:space="preserve"> and </w:t>
    </w:r>
    <w:hyperlink r:id="rId2" w:history="1">
      <w:r w:rsidRPr="00E61D28">
        <w:rPr>
          <w:rStyle w:val="Hyperlink"/>
          <w:rFonts w:ascii="Calibri" w:hAnsi="Calibri"/>
          <w:i/>
          <w:sz w:val="18"/>
          <w:szCs w:val="18"/>
        </w:rPr>
        <w:t>margaret.shield@kingcounty.gov</w:t>
      </w:r>
    </w:hyperlink>
    <w:r>
      <w:rPr>
        <w:rFonts w:ascii="Calibri" w:hAnsi="Calibri"/>
        <w:i/>
        <w:sz w:val="18"/>
        <w:szCs w:val="18"/>
      </w:rPr>
      <w:t xml:space="preserve">.  </w:t>
    </w:r>
  </w:p>
  <w:p w:rsidR="00637045" w:rsidRDefault="00637045" w:rsidP="00475B12">
    <w:pPr>
      <w:pStyle w:val="Footer"/>
      <w:jc w:val="center"/>
    </w:pPr>
  </w:p>
  <w:p w:rsidR="00637045" w:rsidRDefault="00637045" w:rsidP="00475B12">
    <w:pPr>
      <w:pStyle w:val="Footer"/>
      <w:jc w:val="center"/>
      <w:rPr>
        <w:color w:val="4D7261"/>
        <w:sz w:val="18"/>
        <w:szCs w:val="18"/>
      </w:rPr>
    </w:pPr>
    <w:r>
      <w:rPr>
        <w:i/>
        <w:iCs/>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045" w:rsidRDefault="00637045" w:rsidP="00475B12">
      <w:r>
        <w:separator/>
      </w:r>
    </w:p>
  </w:footnote>
  <w:footnote w:type="continuationSeparator" w:id="0">
    <w:p w:rsidR="00637045" w:rsidRDefault="00637045" w:rsidP="00475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045" w:rsidRDefault="00637045" w:rsidP="00475B1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DC4"/>
    <w:multiLevelType w:val="hybridMultilevel"/>
    <w:tmpl w:val="3856C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DC1B24"/>
    <w:multiLevelType w:val="hybridMultilevel"/>
    <w:tmpl w:val="8B942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16844"/>
    <w:multiLevelType w:val="hybridMultilevel"/>
    <w:tmpl w:val="6F7C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300D5"/>
    <w:multiLevelType w:val="hybridMultilevel"/>
    <w:tmpl w:val="E6481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1A6553"/>
    <w:multiLevelType w:val="hybridMultilevel"/>
    <w:tmpl w:val="B7C20A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6351C80"/>
    <w:multiLevelType w:val="hybridMultilevel"/>
    <w:tmpl w:val="2AD6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81815"/>
    <w:multiLevelType w:val="hybridMultilevel"/>
    <w:tmpl w:val="0026F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7E7AAE48">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D57F0"/>
    <w:multiLevelType w:val="hybridMultilevel"/>
    <w:tmpl w:val="A47A81B6"/>
    <w:lvl w:ilvl="0" w:tplc="04090001">
      <w:start w:val="1"/>
      <w:numFmt w:val="bullet"/>
      <w:lvlText w:val=""/>
      <w:lvlJc w:val="left"/>
      <w:pPr>
        <w:ind w:left="720" w:hanging="360"/>
      </w:pPr>
      <w:rPr>
        <w:rFonts w:ascii="Symbol" w:hAnsi="Symbol" w:hint="default"/>
      </w:rPr>
    </w:lvl>
    <w:lvl w:ilvl="1" w:tplc="7E7AAE4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B002C"/>
    <w:multiLevelType w:val="hybridMultilevel"/>
    <w:tmpl w:val="B740B87C"/>
    <w:lvl w:ilvl="0" w:tplc="5AA858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A43FFD"/>
    <w:multiLevelType w:val="hybridMultilevel"/>
    <w:tmpl w:val="DB6EB19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58BC829C">
      <w:numFmt w:val="bullet"/>
      <w:lvlText w:val="-"/>
      <w:lvlJc w:val="left"/>
      <w:pPr>
        <w:ind w:left="2340" w:hanging="360"/>
      </w:pPr>
      <w:rPr>
        <w:rFonts w:ascii="Times New Roman" w:eastAsia="Times New Roman" w:hAnsi="Times New Roman" w:hint="default"/>
        <w:u w:val="single"/>
      </w:rPr>
    </w:lvl>
    <w:lvl w:ilvl="3" w:tplc="2DE06DC6">
      <w:start w:val="1317"/>
      <w:numFmt w:val="bullet"/>
      <w:lvlText w:val="–"/>
      <w:lvlJc w:val="left"/>
      <w:pPr>
        <w:ind w:left="2880" w:hanging="360"/>
      </w:pPr>
      <w:rPr>
        <w:rFonts w:ascii="Times New Roman" w:eastAsia="Times New Roman" w:hAnsi="Times New Roman" w:hint="default"/>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2B4C3774"/>
    <w:multiLevelType w:val="hybridMultilevel"/>
    <w:tmpl w:val="57F00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430E8"/>
    <w:multiLevelType w:val="hybridMultilevel"/>
    <w:tmpl w:val="09545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3017162A"/>
    <w:multiLevelType w:val="hybridMultilevel"/>
    <w:tmpl w:val="EB1E6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9E50CA"/>
    <w:multiLevelType w:val="hybridMultilevel"/>
    <w:tmpl w:val="145A3C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2C0A2E"/>
    <w:multiLevelType w:val="hybridMultilevel"/>
    <w:tmpl w:val="793EA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E666FC"/>
    <w:multiLevelType w:val="hybridMultilevel"/>
    <w:tmpl w:val="EA0E9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4A4D1E"/>
    <w:multiLevelType w:val="hybridMultilevel"/>
    <w:tmpl w:val="7A14D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4E683B"/>
    <w:multiLevelType w:val="hybridMultilevel"/>
    <w:tmpl w:val="C1E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E44BFE"/>
    <w:multiLevelType w:val="hybridMultilevel"/>
    <w:tmpl w:val="7E04B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6F6401"/>
    <w:multiLevelType w:val="hybridMultilevel"/>
    <w:tmpl w:val="88E087F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7E7AAE48">
      <w:start w:val="1"/>
      <w:numFmt w:val="bullet"/>
      <w:lvlText w:val="­"/>
      <w:lvlJc w:val="left"/>
      <w:pPr>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CC1B98"/>
    <w:multiLevelType w:val="hybridMultilevel"/>
    <w:tmpl w:val="B8F2C0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7E7AAE48">
      <w:start w:val="1"/>
      <w:numFmt w:val="bullet"/>
      <w:lvlText w:val="­"/>
      <w:lvlJc w:val="left"/>
      <w:pPr>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0121C7"/>
    <w:multiLevelType w:val="hybridMultilevel"/>
    <w:tmpl w:val="FC0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5B5324"/>
    <w:multiLevelType w:val="hybridMultilevel"/>
    <w:tmpl w:val="885E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8607D3"/>
    <w:multiLevelType w:val="hybridMultilevel"/>
    <w:tmpl w:val="C81A0B2E"/>
    <w:lvl w:ilvl="0" w:tplc="04090001">
      <w:start w:val="1"/>
      <w:numFmt w:val="bullet"/>
      <w:lvlText w:val=""/>
      <w:lvlJc w:val="left"/>
      <w:pPr>
        <w:ind w:left="720" w:hanging="360"/>
      </w:pPr>
      <w:rPr>
        <w:rFonts w:ascii="Symbol" w:hAnsi="Symbol" w:hint="default"/>
      </w:rPr>
    </w:lvl>
    <w:lvl w:ilvl="1" w:tplc="7E7AAE4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8E72A5"/>
    <w:multiLevelType w:val="hybridMultilevel"/>
    <w:tmpl w:val="18280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CA65C79"/>
    <w:multiLevelType w:val="hybridMultilevel"/>
    <w:tmpl w:val="C73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5"/>
  </w:num>
  <w:num w:numId="4">
    <w:abstractNumId w:val="17"/>
  </w:num>
  <w:num w:numId="5">
    <w:abstractNumId w:val="3"/>
  </w:num>
  <w:num w:numId="6">
    <w:abstractNumId w:val="5"/>
  </w:num>
  <w:num w:numId="7">
    <w:abstractNumId w:val="16"/>
  </w:num>
  <w:num w:numId="8">
    <w:abstractNumId w:val="1"/>
  </w:num>
  <w:num w:numId="9">
    <w:abstractNumId w:val="18"/>
  </w:num>
  <w:num w:numId="10">
    <w:abstractNumId w:val="4"/>
  </w:num>
  <w:num w:numId="11">
    <w:abstractNumId w:val="20"/>
  </w:num>
  <w:num w:numId="12">
    <w:abstractNumId w:val="10"/>
  </w:num>
  <w:num w:numId="13">
    <w:abstractNumId w:val="11"/>
  </w:num>
  <w:num w:numId="14">
    <w:abstractNumId w:val="0"/>
  </w:num>
  <w:num w:numId="15">
    <w:abstractNumId w:val="25"/>
  </w:num>
  <w:num w:numId="16">
    <w:abstractNumId w:val="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 w:numId="19">
    <w:abstractNumId w:val="2"/>
  </w:num>
  <w:num w:numId="20">
    <w:abstractNumId w:val="24"/>
  </w:num>
  <w:num w:numId="21">
    <w:abstractNumId w:val="22"/>
  </w:num>
  <w:num w:numId="22">
    <w:abstractNumId w:val="13"/>
  </w:num>
  <w:num w:numId="23">
    <w:abstractNumId w:val="21"/>
  </w:num>
  <w:num w:numId="24">
    <w:abstractNumId w:val="19"/>
  </w:num>
  <w:num w:numId="25">
    <w:abstractNumId w:val="12"/>
  </w:num>
  <w:num w:numId="26">
    <w:abstractNumId w:val="7"/>
  </w:num>
  <w:num w:numId="27">
    <w:abstractNumId w:val="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15"/>
    <w:rsid w:val="00003B27"/>
    <w:rsid w:val="0001288E"/>
    <w:rsid w:val="00020992"/>
    <w:rsid w:val="00022292"/>
    <w:rsid w:val="00026412"/>
    <w:rsid w:val="000300A8"/>
    <w:rsid w:val="00032E05"/>
    <w:rsid w:val="0004259C"/>
    <w:rsid w:val="000437FE"/>
    <w:rsid w:val="00044BB2"/>
    <w:rsid w:val="0005457C"/>
    <w:rsid w:val="00062CCA"/>
    <w:rsid w:val="00064631"/>
    <w:rsid w:val="00064CD0"/>
    <w:rsid w:val="00074292"/>
    <w:rsid w:val="00083652"/>
    <w:rsid w:val="00091579"/>
    <w:rsid w:val="0009212A"/>
    <w:rsid w:val="00095F15"/>
    <w:rsid w:val="000A30FD"/>
    <w:rsid w:val="000A372C"/>
    <w:rsid w:val="000A6C9A"/>
    <w:rsid w:val="000B38D0"/>
    <w:rsid w:val="000C0B1C"/>
    <w:rsid w:val="000C12B5"/>
    <w:rsid w:val="000D3F28"/>
    <w:rsid w:val="000D6606"/>
    <w:rsid w:val="000D7182"/>
    <w:rsid w:val="000E289E"/>
    <w:rsid w:val="000E593B"/>
    <w:rsid w:val="001005B1"/>
    <w:rsid w:val="001011D0"/>
    <w:rsid w:val="001060FE"/>
    <w:rsid w:val="00114E39"/>
    <w:rsid w:val="00116102"/>
    <w:rsid w:val="00121292"/>
    <w:rsid w:val="0012595A"/>
    <w:rsid w:val="00137B3A"/>
    <w:rsid w:val="0014426E"/>
    <w:rsid w:val="00144C8E"/>
    <w:rsid w:val="00153ED8"/>
    <w:rsid w:val="001556C2"/>
    <w:rsid w:val="001765F3"/>
    <w:rsid w:val="0018073C"/>
    <w:rsid w:val="00182900"/>
    <w:rsid w:val="0019323B"/>
    <w:rsid w:val="001A2679"/>
    <w:rsid w:val="001A3456"/>
    <w:rsid w:val="001B14CF"/>
    <w:rsid w:val="001B3447"/>
    <w:rsid w:val="001B70CE"/>
    <w:rsid w:val="001C2186"/>
    <w:rsid w:val="001D1A6E"/>
    <w:rsid w:val="001D561A"/>
    <w:rsid w:val="001E4F70"/>
    <w:rsid w:val="001E6DD5"/>
    <w:rsid w:val="001F368A"/>
    <w:rsid w:val="001F6331"/>
    <w:rsid w:val="00201F93"/>
    <w:rsid w:val="00211490"/>
    <w:rsid w:val="00214A69"/>
    <w:rsid w:val="002163D4"/>
    <w:rsid w:val="00224AE3"/>
    <w:rsid w:val="0023590F"/>
    <w:rsid w:val="00246CE4"/>
    <w:rsid w:val="00251D7B"/>
    <w:rsid w:val="00256AD2"/>
    <w:rsid w:val="002637E2"/>
    <w:rsid w:val="00266EDE"/>
    <w:rsid w:val="002722CC"/>
    <w:rsid w:val="00281FA1"/>
    <w:rsid w:val="002826B2"/>
    <w:rsid w:val="002839DE"/>
    <w:rsid w:val="002867B3"/>
    <w:rsid w:val="00286D11"/>
    <w:rsid w:val="00292B9F"/>
    <w:rsid w:val="00293DE3"/>
    <w:rsid w:val="00296619"/>
    <w:rsid w:val="002967C0"/>
    <w:rsid w:val="002A2D7A"/>
    <w:rsid w:val="002A516C"/>
    <w:rsid w:val="002B6BA4"/>
    <w:rsid w:val="002B7D90"/>
    <w:rsid w:val="002C1C72"/>
    <w:rsid w:val="002C3D56"/>
    <w:rsid w:val="002C4380"/>
    <w:rsid w:val="002E45DD"/>
    <w:rsid w:val="002F63FE"/>
    <w:rsid w:val="0030194C"/>
    <w:rsid w:val="00301CB8"/>
    <w:rsid w:val="00302639"/>
    <w:rsid w:val="00302D59"/>
    <w:rsid w:val="00306201"/>
    <w:rsid w:val="00306372"/>
    <w:rsid w:val="00315954"/>
    <w:rsid w:val="00323681"/>
    <w:rsid w:val="00327FA2"/>
    <w:rsid w:val="003303B3"/>
    <w:rsid w:val="00331B44"/>
    <w:rsid w:val="003322B7"/>
    <w:rsid w:val="00333668"/>
    <w:rsid w:val="00354CE2"/>
    <w:rsid w:val="0036260C"/>
    <w:rsid w:val="003664D4"/>
    <w:rsid w:val="0037220C"/>
    <w:rsid w:val="00372EC8"/>
    <w:rsid w:val="00373D48"/>
    <w:rsid w:val="00375EE4"/>
    <w:rsid w:val="003775D4"/>
    <w:rsid w:val="00382378"/>
    <w:rsid w:val="0039182F"/>
    <w:rsid w:val="00391C41"/>
    <w:rsid w:val="0039465F"/>
    <w:rsid w:val="0039501D"/>
    <w:rsid w:val="00395316"/>
    <w:rsid w:val="00395EA8"/>
    <w:rsid w:val="003A6BCA"/>
    <w:rsid w:val="003B217E"/>
    <w:rsid w:val="003B5EEF"/>
    <w:rsid w:val="003C2842"/>
    <w:rsid w:val="003C45D3"/>
    <w:rsid w:val="003C514D"/>
    <w:rsid w:val="003C7AA3"/>
    <w:rsid w:val="003D53F8"/>
    <w:rsid w:val="003E1CB3"/>
    <w:rsid w:val="003E3F3C"/>
    <w:rsid w:val="003E5BC1"/>
    <w:rsid w:val="003E6730"/>
    <w:rsid w:val="003E7097"/>
    <w:rsid w:val="003F626B"/>
    <w:rsid w:val="004026F2"/>
    <w:rsid w:val="00404CFF"/>
    <w:rsid w:val="00405351"/>
    <w:rsid w:val="00411633"/>
    <w:rsid w:val="004219DB"/>
    <w:rsid w:val="00422C58"/>
    <w:rsid w:val="00436895"/>
    <w:rsid w:val="00442E73"/>
    <w:rsid w:val="004443BA"/>
    <w:rsid w:val="00456B0A"/>
    <w:rsid w:val="00465675"/>
    <w:rsid w:val="00474585"/>
    <w:rsid w:val="00475B12"/>
    <w:rsid w:val="004853AE"/>
    <w:rsid w:val="004936FF"/>
    <w:rsid w:val="004A2EFE"/>
    <w:rsid w:val="004A5E43"/>
    <w:rsid w:val="004B7BE3"/>
    <w:rsid w:val="004C42A6"/>
    <w:rsid w:val="004D00E7"/>
    <w:rsid w:val="004F5766"/>
    <w:rsid w:val="004F610E"/>
    <w:rsid w:val="004F7987"/>
    <w:rsid w:val="00507B5A"/>
    <w:rsid w:val="00510B5B"/>
    <w:rsid w:val="00510C2C"/>
    <w:rsid w:val="00532C49"/>
    <w:rsid w:val="0053634C"/>
    <w:rsid w:val="00541D34"/>
    <w:rsid w:val="00560065"/>
    <w:rsid w:val="005629C2"/>
    <w:rsid w:val="00573743"/>
    <w:rsid w:val="0057492F"/>
    <w:rsid w:val="00585905"/>
    <w:rsid w:val="005902A4"/>
    <w:rsid w:val="00591E2C"/>
    <w:rsid w:val="0059421D"/>
    <w:rsid w:val="00594E36"/>
    <w:rsid w:val="005A1947"/>
    <w:rsid w:val="005A7BEE"/>
    <w:rsid w:val="005B1D56"/>
    <w:rsid w:val="005B2976"/>
    <w:rsid w:val="005B39E0"/>
    <w:rsid w:val="005B5D73"/>
    <w:rsid w:val="005C5A09"/>
    <w:rsid w:val="005C66EB"/>
    <w:rsid w:val="005D0BBF"/>
    <w:rsid w:val="005D4909"/>
    <w:rsid w:val="005D623E"/>
    <w:rsid w:val="005D6956"/>
    <w:rsid w:val="005E3D47"/>
    <w:rsid w:val="005E4D60"/>
    <w:rsid w:val="005E5D3B"/>
    <w:rsid w:val="005F19AC"/>
    <w:rsid w:val="005F3A40"/>
    <w:rsid w:val="005F3E78"/>
    <w:rsid w:val="006131B9"/>
    <w:rsid w:val="00614015"/>
    <w:rsid w:val="00617842"/>
    <w:rsid w:val="0062006F"/>
    <w:rsid w:val="006245B3"/>
    <w:rsid w:val="0063680B"/>
    <w:rsid w:val="00637045"/>
    <w:rsid w:val="00653A32"/>
    <w:rsid w:val="00656C36"/>
    <w:rsid w:val="00657958"/>
    <w:rsid w:val="0066137F"/>
    <w:rsid w:val="0066296E"/>
    <w:rsid w:val="0067193A"/>
    <w:rsid w:val="00672380"/>
    <w:rsid w:val="00675138"/>
    <w:rsid w:val="0068708E"/>
    <w:rsid w:val="00696985"/>
    <w:rsid w:val="006A508F"/>
    <w:rsid w:val="006B3CDE"/>
    <w:rsid w:val="006B5281"/>
    <w:rsid w:val="006B6B4B"/>
    <w:rsid w:val="006C2002"/>
    <w:rsid w:val="006C37F6"/>
    <w:rsid w:val="006D1600"/>
    <w:rsid w:val="006E191C"/>
    <w:rsid w:val="006E3607"/>
    <w:rsid w:val="006F05E9"/>
    <w:rsid w:val="006F321A"/>
    <w:rsid w:val="00707C23"/>
    <w:rsid w:val="0071549C"/>
    <w:rsid w:val="00722590"/>
    <w:rsid w:val="00724FD2"/>
    <w:rsid w:val="00746C89"/>
    <w:rsid w:val="007473E3"/>
    <w:rsid w:val="0077651E"/>
    <w:rsid w:val="00777C62"/>
    <w:rsid w:val="0078503B"/>
    <w:rsid w:val="00786C1E"/>
    <w:rsid w:val="0079069B"/>
    <w:rsid w:val="007923EB"/>
    <w:rsid w:val="007965AF"/>
    <w:rsid w:val="007A0046"/>
    <w:rsid w:val="007A1C75"/>
    <w:rsid w:val="007B37D6"/>
    <w:rsid w:val="007C79CF"/>
    <w:rsid w:val="007D4771"/>
    <w:rsid w:val="007F732A"/>
    <w:rsid w:val="008231CA"/>
    <w:rsid w:val="00826542"/>
    <w:rsid w:val="00826C4C"/>
    <w:rsid w:val="00830431"/>
    <w:rsid w:val="00830541"/>
    <w:rsid w:val="00830AC0"/>
    <w:rsid w:val="0083451F"/>
    <w:rsid w:val="0084409F"/>
    <w:rsid w:val="00853155"/>
    <w:rsid w:val="008534E2"/>
    <w:rsid w:val="00854888"/>
    <w:rsid w:val="0086143B"/>
    <w:rsid w:val="00861FA5"/>
    <w:rsid w:val="00862631"/>
    <w:rsid w:val="0086763B"/>
    <w:rsid w:val="00870D04"/>
    <w:rsid w:val="00881AC8"/>
    <w:rsid w:val="00881F3E"/>
    <w:rsid w:val="008832C7"/>
    <w:rsid w:val="0088354B"/>
    <w:rsid w:val="00887101"/>
    <w:rsid w:val="00892AE3"/>
    <w:rsid w:val="008A7F96"/>
    <w:rsid w:val="008B3328"/>
    <w:rsid w:val="008B58A9"/>
    <w:rsid w:val="008B79A7"/>
    <w:rsid w:val="008C4800"/>
    <w:rsid w:val="008D2C2D"/>
    <w:rsid w:val="008E1AD9"/>
    <w:rsid w:val="008E5ADE"/>
    <w:rsid w:val="008E6A81"/>
    <w:rsid w:val="008E755C"/>
    <w:rsid w:val="008F5CF5"/>
    <w:rsid w:val="00904703"/>
    <w:rsid w:val="00904F83"/>
    <w:rsid w:val="00931BB1"/>
    <w:rsid w:val="00941AA3"/>
    <w:rsid w:val="00945ACB"/>
    <w:rsid w:val="009517C9"/>
    <w:rsid w:val="00951CAA"/>
    <w:rsid w:val="009520E9"/>
    <w:rsid w:val="00954EA9"/>
    <w:rsid w:val="00955C61"/>
    <w:rsid w:val="00966E33"/>
    <w:rsid w:val="009736E1"/>
    <w:rsid w:val="00983BDF"/>
    <w:rsid w:val="00995F9C"/>
    <w:rsid w:val="009A2438"/>
    <w:rsid w:val="009A4477"/>
    <w:rsid w:val="009A6EDA"/>
    <w:rsid w:val="009B099A"/>
    <w:rsid w:val="009B3BAD"/>
    <w:rsid w:val="009C6DC4"/>
    <w:rsid w:val="009D2025"/>
    <w:rsid w:val="009D2281"/>
    <w:rsid w:val="009D4024"/>
    <w:rsid w:val="009D50BD"/>
    <w:rsid w:val="009D714E"/>
    <w:rsid w:val="009E67F4"/>
    <w:rsid w:val="009F1458"/>
    <w:rsid w:val="009F16BB"/>
    <w:rsid w:val="009F19FB"/>
    <w:rsid w:val="009F335D"/>
    <w:rsid w:val="00A00CEF"/>
    <w:rsid w:val="00A13FA3"/>
    <w:rsid w:val="00A14CF6"/>
    <w:rsid w:val="00A1633E"/>
    <w:rsid w:val="00A17447"/>
    <w:rsid w:val="00A17A91"/>
    <w:rsid w:val="00A24D8E"/>
    <w:rsid w:val="00A3256C"/>
    <w:rsid w:val="00A35F38"/>
    <w:rsid w:val="00A509EE"/>
    <w:rsid w:val="00A63948"/>
    <w:rsid w:val="00A6500F"/>
    <w:rsid w:val="00A7193F"/>
    <w:rsid w:val="00A71AB4"/>
    <w:rsid w:val="00A87E0C"/>
    <w:rsid w:val="00A956B5"/>
    <w:rsid w:val="00A97336"/>
    <w:rsid w:val="00AA2A16"/>
    <w:rsid w:val="00AA37E1"/>
    <w:rsid w:val="00AA5E44"/>
    <w:rsid w:val="00AA639B"/>
    <w:rsid w:val="00AB3E49"/>
    <w:rsid w:val="00AD2670"/>
    <w:rsid w:val="00AD6508"/>
    <w:rsid w:val="00AF00FD"/>
    <w:rsid w:val="00AF1A65"/>
    <w:rsid w:val="00AF54E4"/>
    <w:rsid w:val="00B03474"/>
    <w:rsid w:val="00B0534F"/>
    <w:rsid w:val="00B1665F"/>
    <w:rsid w:val="00B23C42"/>
    <w:rsid w:val="00B30050"/>
    <w:rsid w:val="00B43476"/>
    <w:rsid w:val="00B52CE7"/>
    <w:rsid w:val="00B644AD"/>
    <w:rsid w:val="00B65657"/>
    <w:rsid w:val="00B91B36"/>
    <w:rsid w:val="00B9648C"/>
    <w:rsid w:val="00B972EC"/>
    <w:rsid w:val="00BC1E4D"/>
    <w:rsid w:val="00BC21FA"/>
    <w:rsid w:val="00BC349A"/>
    <w:rsid w:val="00BC435B"/>
    <w:rsid w:val="00BC67A6"/>
    <w:rsid w:val="00BC6A46"/>
    <w:rsid w:val="00BC7932"/>
    <w:rsid w:val="00BD1C9E"/>
    <w:rsid w:val="00BD27BD"/>
    <w:rsid w:val="00BF3544"/>
    <w:rsid w:val="00C05D9B"/>
    <w:rsid w:val="00C10EC7"/>
    <w:rsid w:val="00C157FC"/>
    <w:rsid w:val="00C16194"/>
    <w:rsid w:val="00C31EA5"/>
    <w:rsid w:val="00C36754"/>
    <w:rsid w:val="00C407A2"/>
    <w:rsid w:val="00C428EA"/>
    <w:rsid w:val="00C46234"/>
    <w:rsid w:val="00C551AA"/>
    <w:rsid w:val="00C55B5D"/>
    <w:rsid w:val="00C66793"/>
    <w:rsid w:val="00C72754"/>
    <w:rsid w:val="00C91C08"/>
    <w:rsid w:val="00C9519C"/>
    <w:rsid w:val="00CA0E78"/>
    <w:rsid w:val="00CA6248"/>
    <w:rsid w:val="00CA7378"/>
    <w:rsid w:val="00CB1B87"/>
    <w:rsid w:val="00CB2C3E"/>
    <w:rsid w:val="00CC406A"/>
    <w:rsid w:val="00CE22DC"/>
    <w:rsid w:val="00D1222E"/>
    <w:rsid w:val="00D1384A"/>
    <w:rsid w:val="00D1422D"/>
    <w:rsid w:val="00D170AD"/>
    <w:rsid w:val="00D17FA4"/>
    <w:rsid w:val="00D206FF"/>
    <w:rsid w:val="00D5102D"/>
    <w:rsid w:val="00D64973"/>
    <w:rsid w:val="00D673C3"/>
    <w:rsid w:val="00D7190E"/>
    <w:rsid w:val="00D73D8E"/>
    <w:rsid w:val="00D9059A"/>
    <w:rsid w:val="00D92B7B"/>
    <w:rsid w:val="00D9508F"/>
    <w:rsid w:val="00D96F44"/>
    <w:rsid w:val="00DA129F"/>
    <w:rsid w:val="00DA17AE"/>
    <w:rsid w:val="00DB367E"/>
    <w:rsid w:val="00DD061E"/>
    <w:rsid w:val="00DD1194"/>
    <w:rsid w:val="00DD71D5"/>
    <w:rsid w:val="00DD78D1"/>
    <w:rsid w:val="00DF2079"/>
    <w:rsid w:val="00DF2429"/>
    <w:rsid w:val="00DF59E7"/>
    <w:rsid w:val="00E00FC9"/>
    <w:rsid w:val="00E011AC"/>
    <w:rsid w:val="00E02F0A"/>
    <w:rsid w:val="00E102BC"/>
    <w:rsid w:val="00E165F9"/>
    <w:rsid w:val="00E25811"/>
    <w:rsid w:val="00E3025D"/>
    <w:rsid w:val="00E367E6"/>
    <w:rsid w:val="00E518AF"/>
    <w:rsid w:val="00E57E4F"/>
    <w:rsid w:val="00E61D28"/>
    <w:rsid w:val="00E702A1"/>
    <w:rsid w:val="00E71C57"/>
    <w:rsid w:val="00E76671"/>
    <w:rsid w:val="00E8429B"/>
    <w:rsid w:val="00E919BA"/>
    <w:rsid w:val="00E93CF2"/>
    <w:rsid w:val="00E95858"/>
    <w:rsid w:val="00E97D7E"/>
    <w:rsid w:val="00EA12DF"/>
    <w:rsid w:val="00EA2B21"/>
    <w:rsid w:val="00EB1513"/>
    <w:rsid w:val="00EB4150"/>
    <w:rsid w:val="00EC1378"/>
    <w:rsid w:val="00ED0C6F"/>
    <w:rsid w:val="00EF011C"/>
    <w:rsid w:val="00EF06A3"/>
    <w:rsid w:val="00EF2989"/>
    <w:rsid w:val="00F01FFE"/>
    <w:rsid w:val="00F032F6"/>
    <w:rsid w:val="00F0709F"/>
    <w:rsid w:val="00F12EE6"/>
    <w:rsid w:val="00F13FFF"/>
    <w:rsid w:val="00F14ADD"/>
    <w:rsid w:val="00F2289C"/>
    <w:rsid w:val="00F30A25"/>
    <w:rsid w:val="00F31E75"/>
    <w:rsid w:val="00F35B44"/>
    <w:rsid w:val="00F36EEA"/>
    <w:rsid w:val="00F43AF8"/>
    <w:rsid w:val="00F6702C"/>
    <w:rsid w:val="00F759DE"/>
    <w:rsid w:val="00F81D8E"/>
    <w:rsid w:val="00F8425D"/>
    <w:rsid w:val="00F84A87"/>
    <w:rsid w:val="00F84D32"/>
    <w:rsid w:val="00F855C8"/>
    <w:rsid w:val="00FA5972"/>
    <w:rsid w:val="00FB1506"/>
    <w:rsid w:val="00FE2EBE"/>
    <w:rsid w:val="00FE33E5"/>
    <w:rsid w:val="00FF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D4"/>
    <w:rPr>
      <w:sz w:val="24"/>
    </w:rPr>
  </w:style>
  <w:style w:type="paragraph" w:styleId="Heading2">
    <w:name w:val="heading 2"/>
    <w:basedOn w:val="Normal"/>
    <w:link w:val="Heading2Char"/>
    <w:uiPriority w:val="99"/>
    <w:qFormat/>
    <w:rsid w:val="00292B9F"/>
    <w:pPr>
      <w:spacing w:before="200" w:after="100"/>
      <w:jc w:val="center"/>
      <w:outlineLvl w:val="1"/>
    </w:pPr>
    <w:rPr>
      <w:rFonts w:eastAsia="Times New Roman"/>
      <w:b/>
      <w:bCs/>
      <w:sz w:val="13"/>
      <w:szCs w:val="13"/>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92B9F"/>
    <w:rPr>
      <w:rFonts w:eastAsia="Times New Roman" w:cs="Times New Roman"/>
      <w:b/>
      <w:sz w:val="13"/>
      <w:lang w:eastAsia="ja-JP"/>
    </w:rPr>
  </w:style>
  <w:style w:type="paragraph" w:styleId="ListParagraph">
    <w:name w:val="List Paragraph"/>
    <w:basedOn w:val="Normal"/>
    <w:uiPriority w:val="99"/>
    <w:qFormat/>
    <w:rsid w:val="00095F15"/>
    <w:pPr>
      <w:ind w:left="720"/>
      <w:contextualSpacing/>
    </w:pPr>
  </w:style>
  <w:style w:type="paragraph" w:styleId="Header">
    <w:name w:val="header"/>
    <w:basedOn w:val="Normal"/>
    <w:link w:val="HeaderChar"/>
    <w:uiPriority w:val="99"/>
    <w:rsid w:val="00475B12"/>
    <w:pPr>
      <w:tabs>
        <w:tab w:val="center" w:pos="4680"/>
        <w:tab w:val="right" w:pos="9360"/>
      </w:tabs>
    </w:pPr>
  </w:style>
  <w:style w:type="character" w:customStyle="1" w:styleId="HeaderChar">
    <w:name w:val="Header Char"/>
    <w:basedOn w:val="DefaultParagraphFont"/>
    <w:link w:val="Header"/>
    <w:uiPriority w:val="99"/>
    <w:locked/>
    <w:rsid w:val="00475B12"/>
    <w:rPr>
      <w:rFonts w:cs="Times New Roman"/>
      <w:sz w:val="22"/>
    </w:rPr>
  </w:style>
  <w:style w:type="paragraph" w:styleId="Footer">
    <w:name w:val="footer"/>
    <w:basedOn w:val="Normal"/>
    <w:link w:val="FooterChar"/>
    <w:uiPriority w:val="99"/>
    <w:rsid w:val="00475B12"/>
    <w:pPr>
      <w:tabs>
        <w:tab w:val="center" w:pos="4680"/>
        <w:tab w:val="right" w:pos="9360"/>
      </w:tabs>
    </w:pPr>
  </w:style>
  <w:style w:type="character" w:customStyle="1" w:styleId="FooterChar">
    <w:name w:val="Footer Char"/>
    <w:basedOn w:val="DefaultParagraphFont"/>
    <w:link w:val="Footer"/>
    <w:uiPriority w:val="99"/>
    <w:locked/>
    <w:rsid w:val="00475B12"/>
    <w:rPr>
      <w:rFonts w:cs="Times New Roman"/>
      <w:sz w:val="22"/>
    </w:rPr>
  </w:style>
  <w:style w:type="character" w:styleId="Hyperlink">
    <w:name w:val="Hyperlink"/>
    <w:basedOn w:val="DefaultParagraphFont"/>
    <w:uiPriority w:val="99"/>
    <w:rsid w:val="00292B9F"/>
    <w:rPr>
      <w:rFonts w:cs="Times New Roman"/>
      <w:color w:val="0000FF"/>
      <w:u w:val="single"/>
    </w:rPr>
  </w:style>
  <w:style w:type="character" w:styleId="CommentReference">
    <w:name w:val="annotation reference"/>
    <w:basedOn w:val="DefaultParagraphFont"/>
    <w:uiPriority w:val="99"/>
    <w:semiHidden/>
    <w:rsid w:val="00A17447"/>
    <w:rPr>
      <w:rFonts w:cs="Times New Roman"/>
      <w:sz w:val="16"/>
    </w:rPr>
  </w:style>
  <w:style w:type="paragraph" w:styleId="CommentText">
    <w:name w:val="annotation text"/>
    <w:basedOn w:val="Normal"/>
    <w:link w:val="CommentTextChar"/>
    <w:uiPriority w:val="99"/>
    <w:semiHidden/>
    <w:rsid w:val="00A17447"/>
    <w:rPr>
      <w:sz w:val="20"/>
      <w:szCs w:val="20"/>
    </w:rPr>
  </w:style>
  <w:style w:type="character" w:customStyle="1" w:styleId="CommentTextChar">
    <w:name w:val="Comment Text Char"/>
    <w:basedOn w:val="DefaultParagraphFont"/>
    <w:link w:val="CommentText"/>
    <w:uiPriority w:val="99"/>
    <w:semiHidden/>
    <w:locked/>
    <w:rsid w:val="00A17447"/>
    <w:rPr>
      <w:rFonts w:cs="Times New Roman"/>
    </w:rPr>
  </w:style>
  <w:style w:type="paragraph" w:styleId="CommentSubject">
    <w:name w:val="annotation subject"/>
    <w:basedOn w:val="CommentText"/>
    <w:next w:val="CommentText"/>
    <w:link w:val="CommentSubjectChar"/>
    <w:uiPriority w:val="99"/>
    <w:semiHidden/>
    <w:rsid w:val="00A17447"/>
    <w:rPr>
      <w:b/>
      <w:bCs/>
    </w:rPr>
  </w:style>
  <w:style w:type="character" w:customStyle="1" w:styleId="CommentSubjectChar">
    <w:name w:val="Comment Subject Char"/>
    <w:basedOn w:val="CommentTextChar"/>
    <w:link w:val="CommentSubject"/>
    <w:uiPriority w:val="99"/>
    <w:semiHidden/>
    <w:locked/>
    <w:rsid w:val="00A17447"/>
    <w:rPr>
      <w:rFonts w:cs="Times New Roman"/>
      <w:b/>
    </w:rPr>
  </w:style>
  <w:style w:type="paragraph" w:styleId="BalloonText">
    <w:name w:val="Balloon Text"/>
    <w:basedOn w:val="Normal"/>
    <w:link w:val="BalloonTextChar"/>
    <w:uiPriority w:val="99"/>
    <w:semiHidden/>
    <w:rsid w:val="00A17447"/>
    <w:rPr>
      <w:rFonts w:ascii="Tahoma" w:hAnsi="Tahoma"/>
      <w:sz w:val="16"/>
      <w:szCs w:val="16"/>
    </w:rPr>
  </w:style>
  <w:style w:type="character" w:customStyle="1" w:styleId="BalloonTextChar">
    <w:name w:val="Balloon Text Char"/>
    <w:basedOn w:val="DefaultParagraphFont"/>
    <w:link w:val="BalloonText"/>
    <w:uiPriority w:val="99"/>
    <w:semiHidden/>
    <w:locked/>
    <w:rsid w:val="00A17447"/>
    <w:rPr>
      <w:rFonts w:ascii="Tahoma" w:hAnsi="Tahoma" w:cs="Times New Roman"/>
      <w:sz w:val="16"/>
    </w:rPr>
  </w:style>
  <w:style w:type="paragraph" w:styleId="NormalWeb">
    <w:name w:val="Normal (Web)"/>
    <w:basedOn w:val="Normal"/>
    <w:uiPriority w:val="99"/>
    <w:semiHidden/>
    <w:rsid w:val="006C2002"/>
    <w:rPr>
      <w:rFonts w:eastAsia="Times New Roman"/>
      <w:szCs w:val="24"/>
    </w:rPr>
  </w:style>
  <w:style w:type="character" w:styleId="FollowedHyperlink">
    <w:name w:val="FollowedHyperlink"/>
    <w:basedOn w:val="DefaultParagraphFont"/>
    <w:uiPriority w:val="99"/>
    <w:semiHidden/>
    <w:rsid w:val="003C7AA3"/>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D4"/>
    <w:rPr>
      <w:sz w:val="24"/>
    </w:rPr>
  </w:style>
  <w:style w:type="paragraph" w:styleId="Heading2">
    <w:name w:val="heading 2"/>
    <w:basedOn w:val="Normal"/>
    <w:link w:val="Heading2Char"/>
    <w:uiPriority w:val="99"/>
    <w:qFormat/>
    <w:rsid w:val="00292B9F"/>
    <w:pPr>
      <w:spacing w:before="200" w:after="100"/>
      <w:jc w:val="center"/>
      <w:outlineLvl w:val="1"/>
    </w:pPr>
    <w:rPr>
      <w:rFonts w:eastAsia="Times New Roman"/>
      <w:b/>
      <w:bCs/>
      <w:sz w:val="13"/>
      <w:szCs w:val="13"/>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92B9F"/>
    <w:rPr>
      <w:rFonts w:eastAsia="Times New Roman" w:cs="Times New Roman"/>
      <w:b/>
      <w:sz w:val="13"/>
      <w:lang w:eastAsia="ja-JP"/>
    </w:rPr>
  </w:style>
  <w:style w:type="paragraph" w:styleId="ListParagraph">
    <w:name w:val="List Paragraph"/>
    <w:basedOn w:val="Normal"/>
    <w:uiPriority w:val="99"/>
    <w:qFormat/>
    <w:rsid w:val="00095F15"/>
    <w:pPr>
      <w:ind w:left="720"/>
      <w:contextualSpacing/>
    </w:pPr>
  </w:style>
  <w:style w:type="paragraph" w:styleId="Header">
    <w:name w:val="header"/>
    <w:basedOn w:val="Normal"/>
    <w:link w:val="HeaderChar"/>
    <w:uiPriority w:val="99"/>
    <w:rsid w:val="00475B12"/>
    <w:pPr>
      <w:tabs>
        <w:tab w:val="center" w:pos="4680"/>
        <w:tab w:val="right" w:pos="9360"/>
      </w:tabs>
    </w:pPr>
  </w:style>
  <w:style w:type="character" w:customStyle="1" w:styleId="HeaderChar">
    <w:name w:val="Header Char"/>
    <w:basedOn w:val="DefaultParagraphFont"/>
    <w:link w:val="Header"/>
    <w:uiPriority w:val="99"/>
    <w:locked/>
    <w:rsid w:val="00475B12"/>
    <w:rPr>
      <w:rFonts w:cs="Times New Roman"/>
      <w:sz w:val="22"/>
    </w:rPr>
  </w:style>
  <w:style w:type="paragraph" w:styleId="Footer">
    <w:name w:val="footer"/>
    <w:basedOn w:val="Normal"/>
    <w:link w:val="FooterChar"/>
    <w:uiPriority w:val="99"/>
    <w:rsid w:val="00475B12"/>
    <w:pPr>
      <w:tabs>
        <w:tab w:val="center" w:pos="4680"/>
        <w:tab w:val="right" w:pos="9360"/>
      </w:tabs>
    </w:pPr>
  </w:style>
  <w:style w:type="character" w:customStyle="1" w:styleId="FooterChar">
    <w:name w:val="Footer Char"/>
    <w:basedOn w:val="DefaultParagraphFont"/>
    <w:link w:val="Footer"/>
    <w:uiPriority w:val="99"/>
    <w:locked/>
    <w:rsid w:val="00475B12"/>
    <w:rPr>
      <w:rFonts w:cs="Times New Roman"/>
      <w:sz w:val="22"/>
    </w:rPr>
  </w:style>
  <w:style w:type="character" w:styleId="Hyperlink">
    <w:name w:val="Hyperlink"/>
    <w:basedOn w:val="DefaultParagraphFont"/>
    <w:uiPriority w:val="99"/>
    <w:rsid w:val="00292B9F"/>
    <w:rPr>
      <w:rFonts w:cs="Times New Roman"/>
      <w:color w:val="0000FF"/>
      <w:u w:val="single"/>
    </w:rPr>
  </w:style>
  <w:style w:type="character" w:styleId="CommentReference">
    <w:name w:val="annotation reference"/>
    <w:basedOn w:val="DefaultParagraphFont"/>
    <w:uiPriority w:val="99"/>
    <w:semiHidden/>
    <w:rsid w:val="00A17447"/>
    <w:rPr>
      <w:rFonts w:cs="Times New Roman"/>
      <w:sz w:val="16"/>
    </w:rPr>
  </w:style>
  <w:style w:type="paragraph" w:styleId="CommentText">
    <w:name w:val="annotation text"/>
    <w:basedOn w:val="Normal"/>
    <w:link w:val="CommentTextChar"/>
    <w:uiPriority w:val="99"/>
    <w:semiHidden/>
    <w:rsid w:val="00A17447"/>
    <w:rPr>
      <w:sz w:val="20"/>
      <w:szCs w:val="20"/>
    </w:rPr>
  </w:style>
  <w:style w:type="character" w:customStyle="1" w:styleId="CommentTextChar">
    <w:name w:val="Comment Text Char"/>
    <w:basedOn w:val="DefaultParagraphFont"/>
    <w:link w:val="CommentText"/>
    <w:uiPriority w:val="99"/>
    <w:semiHidden/>
    <w:locked/>
    <w:rsid w:val="00A17447"/>
    <w:rPr>
      <w:rFonts w:cs="Times New Roman"/>
    </w:rPr>
  </w:style>
  <w:style w:type="paragraph" w:styleId="CommentSubject">
    <w:name w:val="annotation subject"/>
    <w:basedOn w:val="CommentText"/>
    <w:next w:val="CommentText"/>
    <w:link w:val="CommentSubjectChar"/>
    <w:uiPriority w:val="99"/>
    <w:semiHidden/>
    <w:rsid w:val="00A17447"/>
    <w:rPr>
      <w:b/>
      <w:bCs/>
    </w:rPr>
  </w:style>
  <w:style w:type="character" w:customStyle="1" w:styleId="CommentSubjectChar">
    <w:name w:val="Comment Subject Char"/>
    <w:basedOn w:val="CommentTextChar"/>
    <w:link w:val="CommentSubject"/>
    <w:uiPriority w:val="99"/>
    <w:semiHidden/>
    <w:locked/>
    <w:rsid w:val="00A17447"/>
    <w:rPr>
      <w:rFonts w:cs="Times New Roman"/>
      <w:b/>
    </w:rPr>
  </w:style>
  <w:style w:type="paragraph" w:styleId="BalloonText">
    <w:name w:val="Balloon Text"/>
    <w:basedOn w:val="Normal"/>
    <w:link w:val="BalloonTextChar"/>
    <w:uiPriority w:val="99"/>
    <w:semiHidden/>
    <w:rsid w:val="00A17447"/>
    <w:rPr>
      <w:rFonts w:ascii="Tahoma" w:hAnsi="Tahoma"/>
      <w:sz w:val="16"/>
      <w:szCs w:val="16"/>
    </w:rPr>
  </w:style>
  <w:style w:type="character" w:customStyle="1" w:styleId="BalloonTextChar">
    <w:name w:val="Balloon Text Char"/>
    <w:basedOn w:val="DefaultParagraphFont"/>
    <w:link w:val="BalloonText"/>
    <w:uiPriority w:val="99"/>
    <w:semiHidden/>
    <w:locked/>
    <w:rsid w:val="00A17447"/>
    <w:rPr>
      <w:rFonts w:ascii="Tahoma" w:hAnsi="Tahoma" w:cs="Times New Roman"/>
      <w:sz w:val="16"/>
    </w:rPr>
  </w:style>
  <w:style w:type="paragraph" w:styleId="NormalWeb">
    <w:name w:val="Normal (Web)"/>
    <w:basedOn w:val="Normal"/>
    <w:uiPriority w:val="99"/>
    <w:semiHidden/>
    <w:rsid w:val="006C2002"/>
    <w:rPr>
      <w:rFonts w:eastAsia="Times New Roman"/>
      <w:szCs w:val="24"/>
    </w:rPr>
  </w:style>
  <w:style w:type="character" w:styleId="FollowedHyperlink">
    <w:name w:val="FollowedHyperlink"/>
    <w:basedOn w:val="DefaultParagraphFont"/>
    <w:uiPriority w:val="99"/>
    <w:semiHidden/>
    <w:rsid w:val="003C7AA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717094">
      <w:marLeft w:val="0"/>
      <w:marRight w:val="0"/>
      <w:marTop w:val="0"/>
      <w:marBottom w:val="0"/>
      <w:divBdr>
        <w:top w:val="none" w:sz="0" w:space="0" w:color="auto"/>
        <w:left w:val="none" w:sz="0" w:space="0" w:color="auto"/>
        <w:bottom w:val="none" w:sz="0" w:space="0" w:color="auto"/>
        <w:right w:val="none" w:sz="0" w:space="0" w:color="auto"/>
      </w:divBdr>
    </w:div>
    <w:div w:id="990717095">
      <w:marLeft w:val="0"/>
      <w:marRight w:val="0"/>
      <w:marTop w:val="0"/>
      <w:marBottom w:val="0"/>
      <w:divBdr>
        <w:top w:val="none" w:sz="0" w:space="0" w:color="auto"/>
        <w:left w:val="none" w:sz="0" w:space="0" w:color="auto"/>
        <w:bottom w:val="none" w:sz="0" w:space="0" w:color="auto"/>
        <w:right w:val="none" w:sz="0" w:space="0" w:color="auto"/>
      </w:divBdr>
    </w:div>
    <w:div w:id="990717107">
      <w:marLeft w:val="0"/>
      <w:marRight w:val="0"/>
      <w:marTop w:val="0"/>
      <w:marBottom w:val="0"/>
      <w:divBdr>
        <w:top w:val="none" w:sz="0" w:space="0" w:color="auto"/>
        <w:left w:val="none" w:sz="0" w:space="0" w:color="auto"/>
        <w:bottom w:val="none" w:sz="0" w:space="0" w:color="auto"/>
        <w:right w:val="none" w:sz="0" w:space="0" w:color="auto"/>
      </w:divBdr>
    </w:div>
    <w:div w:id="990717110">
      <w:marLeft w:val="0"/>
      <w:marRight w:val="0"/>
      <w:marTop w:val="0"/>
      <w:marBottom w:val="0"/>
      <w:divBdr>
        <w:top w:val="none" w:sz="0" w:space="0" w:color="auto"/>
        <w:left w:val="none" w:sz="0" w:space="0" w:color="auto"/>
        <w:bottom w:val="none" w:sz="0" w:space="0" w:color="auto"/>
        <w:right w:val="none" w:sz="0" w:space="0" w:color="auto"/>
      </w:divBdr>
      <w:divsChild>
        <w:div w:id="990717106">
          <w:marLeft w:val="0"/>
          <w:marRight w:val="0"/>
          <w:marTop w:val="0"/>
          <w:marBottom w:val="0"/>
          <w:divBdr>
            <w:top w:val="none" w:sz="0" w:space="0" w:color="auto"/>
            <w:left w:val="none" w:sz="0" w:space="0" w:color="auto"/>
            <w:bottom w:val="none" w:sz="0" w:space="0" w:color="auto"/>
            <w:right w:val="none" w:sz="0" w:space="0" w:color="auto"/>
          </w:divBdr>
          <w:divsChild>
            <w:div w:id="990717127">
              <w:marLeft w:val="0"/>
              <w:marRight w:val="0"/>
              <w:marTop w:val="0"/>
              <w:marBottom w:val="0"/>
              <w:divBdr>
                <w:top w:val="none" w:sz="0" w:space="0" w:color="auto"/>
                <w:left w:val="none" w:sz="0" w:space="0" w:color="auto"/>
                <w:bottom w:val="none" w:sz="0" w:space="0" w:color="auto"/>
                <w:right w:val="none" w:sz="0" w:space="0" w:color="auto"/>
              </w:divBdr>
              <w:divsChild>
                <w:div w:id="990717108">
                  <w:marLeft w:val="0"/>
                  <w:marRight w:val="0"/>
                  <w:marTop w:val="0"/>
                  <w:marBottom w:val="0"/>
                  <w:divBdr>
                    <w:top w:val="none" w:sz="0" w:space="0" w:color="auto"/>
                    <w:left w:val="none" w:sz="0" w:space="0" w:color="auto"/>
                    <w:bottom w:val="none" w:sz="0" w:space="0" w:color="auto"/>
                    <w:right w:val="none" w:sz="0" w:space="0" w:color="auto"/>
                  </w:divBdr>
                  <w:divsChild>
                    <w:div w:id="990717097">
                      <w:marLeft w:val="0"/>
                      <w:marRight w:val="0"/>
                      <w:marTop w:val="0"/>
                      <w:marBottom w:val="0"/>
                      <w:divBdr>
                        <w:top w:val="none" w:sz="0" w:space="0" w:color="auto"/>
                        <w:left w:val="none" w:sz="0" w:space="0" w:color="auto"/>
                        <w:bottom w:val="none" w:sz="0" w:space="0" w:color="auto"/>
                        <w:right w:val="none" w:sz="0" w:space="0" w:color="auto"/>
                      </w:divBdr>
                      <w:divsChild>
                        <w:div w:id="990717124">
                          <w:marLeft w:val="0"/>
                          <w:marRight w:val="0"/>
                          <w:marTop w:val="0"/>
                          <w:marBottom w:val="0"/>
                          <w:divBdr>
                            <w:top w:val="none" w:sz="0" w:space="0" w:color="auto"/>
                            <w:left w:val="none" w:sz="0" w:space="0" w:color="auto"/>
                            <w:bottom w:val="none" w:sz="0" w:space="0" w:color="auto"/>
                            <w:right w:val="none" w:sz="0" w:space="0" w:color="auto"/>
                          </w:divBdr>
                          <w:divsChild>
                            <w:div w:id="990717118">
                              <w:marLeft w:val="0"/>
                              <w:marRight w:val="0"/>
                              <w:marTop w:val="0"/>
                              <w:marBottom w:val="0"/>
                              <w:divBdr>
                                <w:top w:val="none" w:sz="0" w:space="0" w:color="auto"/>
                                <w:left w:val="none" w:sz="0" w:space="0" w:color="auto"/>
                                <w:bottom w:val="none" w:sz="0" w:space="0" w:color="auto"/>
                                <w:right w:val="none" w:sz="0" w:space="0" w:color="auto"/>
                              </w:divBdr>
                              <w:divsChild>
                                <w:div w:id="990717134">
                                  <w:marLeft w:val="0"/>
                                  <w:marRight w:val="0"/>
                                  <w:marTop w:val="0"/>
                                  <w:marBottom w:val="0"/>
                                  <w:divBdr>
                                    <w:top w:val="none" w:sz="0" w:space="0" w:color="auto"/>
                                    <w:left w:val="none" w:sz="0" w:space="0" w:color="auto"/>
                                    <w:bottom w:val="none" w:sz="0" w:space="0" w:color="auto"/>
                                    <w:right w:val="none" w:sz="0" w:space="0" w:color="auto"/>
                                  </w:divBdr>
                                  <w:divsChild>
                                    <w:div w:id="990717096">
                                      <w:marLeft w:val="0"/>
                                      <w:marRight w:val="0"/>
                                      <w:marTop w:val="0"/>
                                      <w:marBottom w:val="0"/>
                                      <w:divBdr>
                                        <w:top w:val="none" w:sz="0" w:space="0" w:color="auto"/>
                                        <w:left w:val="none" w:sz="0" w:space="0" w:color="auto"/>
                                        <w:bottom w:val="none" w:sz="0" w:space="0" w:color="auto"/>
                                        <w:right w:val="none" w:sz="0" w:space="0" w:color="auto"/>
                                      </w:divBdr>
                                      <w:divsChild>
                                        <w:div w:id="990717104">
                                          <w:marLeft w:val="0"/>
                                          <w:marRight w:val="0"/>
                                          <w:marTop w:val="0"/>
                                          <w:marBottom w:val="0"/>
                                          <w:divBdr>
                                            <w:top w:val="none" w:sz="0" w:space="0" w:color="auto"/>
                                            <w:left w:val="none" w:sz="0" w:space="0" w:color="auto"/>
                                            <w:bottom w:val="none" w:sz="0" w:space="0" w:color="auto"/>
                                            <w:right w:val="none" w:sz="0" w:space="0" w:color="auto"/>
                                          </w:divBdr>
                                          <w:divsChild>
                                            <w:div w:id="990717120">
                                              <w:marLeft w:val="0"/>
                                              <w:marRight w:val="0"/>
                                              <w:marTop w:val="0"/>
                                              <w:marBottom w:val="0"/>
                                              <w:divBdr>
                                                <w:top w:val="none" w:sz="0" w:space="0" w:color="auto"/>
                                                <w:left w:val="none" w:sz="0" w:space="0" w:color="auto"/>
                                                <w:bottom w:val="none" w:sz="0" w:space="0" w:color="auto"/>
                                                <w:right w:val="none" w:sz="0" w:space="0" w:color="auto"/>
                                              </w:divBdr>
                                              <w:divsChild>
                                                <w:div w:id="990717109">
                                                  <w:marLeft w:val="0"/>
                                                  <w:marRight w:val="0"/>
                                                  <w:marTop w:val="0"/>
                                                  <w:marBottom w:val="0"/>
                                                  <w:divBdr>
                                                    <w:top w:val="none" w:sz="0" w:space="0" w:color="auto"/>
                                                    <w:left w:val="none" w:sz="0" w:space="0" w:color="auto"/>
                                                    <w:bottom w:val="none" w:sz="0" w:space="0" w:color="auto"/>
                                                    <w:right w:val="none" w:sz="0" w:space="0" w:color="auto"/>
                                                  </w:divBdr>
                                                  <w:divsChild>
                                                    <w:div w:id="990717099">
                                                      <w:marLeft w:val="0"/>
                                                      <w:marRight w:val="0"/>
                                                      <w:marTop w:val="0"/>
                                                      <w:marBottom w:val="0"/>
                                                      <w:divBdr>
                                                        <w:top w:val="none" w:sz="0" w:space="0" w:color="auto"/>
                                                        <w:left w:val="none" w:sz="0" w:space="0" w:color="auto"/>
                                                        <w:bottom w:val="none" w:sz="0" w:space="0" w:color="auto"/>
                                                        <w:right w:val="none" w:sz="0" w:space="0" w:color="auto"/>
                                                      </w:divBdr>
                                                      <w:divsChild>
                                                        <w:div w:id="990717098">
                                                          <w:marLeft w:val="0"/>
                                                          <w:marRight w:val="0"/>
                                                          <w:marTop w:val="0"/>
                                                          <w:marBottom w:val="0"/>
                                                          <w:divBdr>
                                                            <w:top w:val="none" w:sz="0" w:space="0" w:color="auto"/>
                                                            <w:left w:val="none" w:sz="0" w:space="0" w:color="auto"/>
                                                            <w:bottom w:val="none" w:sz="0" w:space="0" w:color="auto"/>
                                                            <w:right w:val="none" w:sz="0" w:space="0" w:color="auto"/>
                                                          </w:divBdr>
                                                          <w:divsChild>
                                                            <w:div w:id="990717101">
                                                              <w:marLeft w:val="0"/>
                                                              <w:marRight w:val="150"/>
                                                              <w:marTop w:val="0"/>
                                                              <w:marBottom w:val="150"/>
                                                              <w:divBdr>
                                                                <w:top w:val="none" w:sz="0" w:space="0" w:color="auto"/>
                                                                <w:left w:val="none" w:sz="0" w:space="0" w:color="auto"/>
                                                                <w:bottom w:val="none" w:sz="0" w:space="0" w:color="auto"/>
                                                                <w:right w:val="none" w:sz="0" w:space="0" w:color="auto"/>
                                                              </w:divBdr>
                                                              <w:divsChild>
                                                                <w:div w:id="990717114">
                                                                  <w:marLeft w:val="0"/>
                                                                  <w:marRight w:val="0"/>
                                                                  <w:marTop w:val="0"/>
                                                                  <w:marBottom w:val="0"/>
                                                                  <w:divBdr>
                                                                    <w:top w:val="none" w:sz="0" w:space="0" w:color="auto"/>
                                                                    <w:left w:val="none" w:sz="0" w:space="0" w:color="auto"/>
                                                                    <w:bottom w:val="none" w:sz="0" w:space="0" w:color="auto"/>
                                                                    <w:right w:val="none" w:sz="0" w:space="0" w:color="auto"/>
                                                                  </w:divBdr>
                                                                  <w:divsChild>
                                                                    <w:div w:id="990717102">
                                                                      <w:marLeft w:val="0"/>
                                                                      <w:marRight w:val="0"/>
                                                                      <w:marTop w:val="0"/>
                                                                      <w:marBottom w:val="0"/>
                                                                      <w:divBdr>
                                                                        <w:top w:val="none" w:sz="0" w:space="0" w:color="auto"/>
                                                                        <w:left w:val="none" w:sz="0" w:space="0" w:color="auto"/>
                                                                        <w:bottom w:val="none" w:sz="0" w:space="0" w:color="auto"/>
                                                                        <w:right w:val="none" w:sz="0" w:space="0" w:color="auto"/>
                                                                      </w:divBdr>
                                                                      <w:divsChild>
                                                                        <w:div w:id="990717103">
                                                                          <w:marLeft w:val="0"/>
                                                                          <w:marRight w:val="0"/>
                                                                          <w:marTop w:val="0"/>
                                                                          <w:marBottom w:val="0"/>
                                                                          <w:divBdr>
                                                                            <w:top w:val="none" w:sz="0" w:space="0" w:color="auto"/>
                                                                            <w:left w:val="none" w:sz="0" w:space="0" w:color="auto"/>
                                                                            <w:bottom w:val="none" w:sz="0" w:space="0" w:color="auto"/>
                                                                            <w:right w:val="none" w:sz="0" w:space="0" w:color="auto"/>
                                                                          </w:divBdr>
                                                                          <w:divsChild>
                                                                            <w:div w:id="990717129">
                                                                              <w:marLeft w:val="0"/>
                                                                              <w:marRight w:val="0"/>
                                                                              <w:marTop w:val="0"/>
                                                                              <w:marBottom w:val="0"/>
                                                                              <w:divBdr>
                                                                                <w:top w:val="none" w:sz="0" w:space="0" w:color="auto"/>
                                                                                <w:left w:val="none" w:sz="0" w:space="0" w:color="auto"/>
                                                                                <w:bottom w:val="none" w:sz="0" w:space="0" w:color="auto"/>
                                                                                <w:right w:val="none" w:sz="0" w:space="0" w:color="auto"/>
                                                                              </w:divBdr>
                                                                              <w:divsChild>
                                                                                <w:div w:id="990717131">
                                                                                  <w:marLeft w:val="0"/>
                                                                                  <w:marRight w:val="0"/>
                                                                                  <w:marTop w:val="0"/>
                                                                                  <w:marBottom w:val="0"/>
                                                                                  <w:divBdr>
                                                                                    <w:top w:val="none" w:sz="0" w:space="0" w:color="auto"/>
                                                                                    <w:left w:val="none" w:sz="0" w:space="0" w:color="auto"/>
                                                                                    <w:bottom w:val="none" w:sz="0" w:space="0" w:color="auto"/>
                                                                                    <w:right w:val="none" w:sz="0" w:space="0" w:color="auto"/>
                                                                                  </w:divBdr>
                                                                                  <w:divsChild>
                                                                                    <w:div w:id="990717100">
                                                                                      <w:marLeft w:val="720"/>
                                                                                      <w:marRight w:val="0"/>
                                                                                      <w:marTop w:val="0"/>
                                                                                      <w:marBottom w:val="0"/>
                                                                                      <w:divBdr>
                                                                                        <w:top w:val="none" w:sz="0" w:space="0" w:color="auto"/>
                                                                                        <w:left w:val="none" w:sz="0" w:space="0" w:color="auto"/>
                                                                                        <w:bottom w:val="none" w:sz="0" w:space="0" w:color="auto"/>
                                                                                        <w:right w:val="none" w:sz="0" w:space="0" w:color="auto"/>
                                                                                      </w:divBdr>
                                                                                    </w:div>
                                                                                    <w:div w:id="990717105">
                                                                                      <w:marLeft w:val="720"/>
                                                                                      <w:marRight w:val="0"/>
                                                                                      <w:marTop w:val="0"/>
                                                                                      <w:marBottom w:val="0"/>
                                                                                      <w:divBdr>
                                                                                        <w:top w:val="none" w:sz="0" w:space="0" w:color="auto"/>
                                                                                        <w:left w:val="none" w:sz="0" w:space="0" w:color="auto"/>
                                                                                        <w:bottom w:val="none" w:sz="0" w:space="0" w:color="auto"/>
                                                                                        <w:right w:val="none" w:sz="0" w:space="0" w:color="auto"/>
                                                                                      </w:divBdr>
                                                                                    </w:div>
                                                                                    <w:div w:id="990717113">
                                                                                      <w:marLeft w:val="720"/>
                                                                                      <w:marRight w:val="0"/>
                                                                                      <w:marTop w:val="0"/>
                                                                                      <w:marBottom w:val="0"/>
                                                                                      <w:divBdr>
                                                                                        <w:top w:val="none" w:sz="0" w:space="0" w:color="auto"/>
                                                                                        <w:left w:val="none" w:sz="0" w:space="0" w:color="auto"/>
                                                                                        <w:bottom w:val="none" w:sz="0" w:space="0" w:color="auto"/>
                                                                                        <w:right w:val="none" w:sz="0" w:space="0" w:color="auto"/>
                                                                                      </w:divBdr>
                                                                                    </w:div>
                                                                                    <w:div w:id="990717115">
                                                                                      <w:marLeft w:val="720"/>
                                                                                      <w:marRight w:val="0"/>
                                                                                      <w:marTop w:val="0"/>
                                                                                      <w:marBottom w:val="0"/>
                                                                                      <w:divBdr>
                                                                                        <w:top w:val="none" w:sz="0" w:space="0" w:color="auto"/>
                                                                                        <w:left w:val="none" w:sz="0" w:space="0" w:color="auto"/>
                                                                                        <w:bottom w:val="none" w:sz="0" w:space="0" w:color="auto"/>
                                                                                        <w:right w:val="none" w:sz="0" w:space="0" w:color="auto"/>
                                                                                      </w:divBdr>
                                                                                    </w:div>
                                                                                    <w:div w:id="990717123">
                                                                                      <w:marLeft w:val="720"/>
                                                                                      <w:marRight w:val="0"/>
                                                                                      <w:marTop w:val="0"/>
                                                                                      <w:marBottom w:val="0"/>
                                                                                      <w:divBdr>
                                                                                        <w:top w:val="none" w:sz="0" w:space="0" w:color="auto"/>
                                                                                        <w:left w:val="none" w:sz="0" w:space="0" w:color="auto"/>
                                                                                        <w:bottom w:val="none" w:sz="0" w:space="0" w:color="auto"/>
                                                                                        <w:right w:val="none" w:sz="0" w:space="0" w:color="auto"/>
                                                                                      </w:divBdr>
                                                                                    </w:div>
                                                                                    <w:div w:id="990717125">
                                                                                      <w:marLeft w:val="720"/>
                                                                                      <w:marRight w:val="0"/>
                                                                                      <w:marTop w:val="0"/>
                                                                                      <w:marBottom w:val="0"/>
                                                                                      <w:divBdr>
                                                                                        <w:top w:val="none" w:sz="0" w:space="0" w:color="auto"/>
                                                                                        <w:left w:val="none" w:sz="0" w:space="0" w:color="auto"/>
                                                                                        <w:bottom w:val="none" w:sz="0" w:space="0" w:color="auto"/>
                                                                                        <w:right w:val="none" w:sz="0" w:space="0" w:color="auto"/>
                                                                                      </w:divBdr>
                                                                                    </w:div>
                                                                                    <w:div w:id="990717126">
                                                                                      <w:marLeft w:val="720"/>
                                                                                      <w:marRight w:val="0"/>
                                                                                      <w:marTop w:val="0"/>
                                                                                      <w:marBottom w:val="0"/>
                                                                                      <w:divBdr>
                                                                                        <w:top w:val="none" w:sz="0" w:space="0" w:color="auto"/>
                                                                                        <w:left w:val="none" w:sz="0" w:space="0" w:color="auto"/>
                                                                                        <w:bottom w:val="none" w:sz="0" w:space="0" w:color="auto"/>
                                                                                        <w:right w:val="none" w:sz="0" w:space="0" w:color="auto"/>
                                                                                      </w:divBdr>
                                                                                    </w:div>
                                                                                    <w:div w:id="990717128">
                                                                                      <w:marLeft w:val="720"/>
                                                                                      <w:marRight w:val="0"/>
                                                                                      <w:marTop w:val="0"/>
                                                                                      <w:marBottom w:val="0"/>
                                                                                      <w:divBdr>
                                                                                        <w:top w:val="none" w:sz="0" w:space="0" w:color="auto"/>
                                                                                        <w:left w:val="none" w:sz="0" w:space="0" w:color="auto"/>
                                                                                        <w:bottom w:val="none" w:sz="0" w:space="0" w:color="auto"/>
                                                                                        <w:right w:val="none" w:sz="0" w:space="0" w:color="auto"/>
                                                                                      </w:divBdr>
                                                                                    </w:div>
                                                                                    <w:div w:id="990717130">
                                                                                      <w:marLeft w:val="720"/>
                                                                                      <w:marRight w:val="0"/>
                                                                                      <w:marTop w:val="0"/>
                                                                                      <w:marBottom w:val="0"/>
                                                                                      <w:divBdr>
                                                                                        <w:top w:val="none" w:sz="0" w:space="0" w:color="auto"/>
                                                                                        <w:left w:val="none" w:sz="0" w:space="0" w:color="auto"/>
                                                                                        <w:bottom w:val="none" w:sz="0" w:space="0" w:color="auto"/>
                                                                                        <w:right w:val="none" w:sz="0" w:space="0" w:color="auto"/>
                                                                                      </w:divBdr>
                                                                                    </w:div>
                                                                                    <w:div w:id="9907171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17111">
      <w:marLeft w:val="0"/>
      <w:marRight w:val="0"/>
      <w:marTop w:val="0"/>
      <w:marBottom w:val="0"/>
      <w:divBdr>
        <w:top w:val="none" w:sz="0" w:space="0" w:color="auto"/>
        <w:left w:val="none" w:sz="0" w:space="0" w:color="auto"/>
        <w:bottom w:val="none" w:sz="0" w:space="0" w:color="auto"/>
        <w:right w:val="none" w:sz="0" w:space="0" w:color="auto"/>
      </w:divBdr>
    </w:div>
    <w:div w:id="990717112">
      <w:marLeft w:val="0"/>
      <w:marRight w:val="0"/>
      <w:marTop w:val="0"/>
      <w:marBottom w:val="0"/>
      <w:divBdr>
        <w:top w:val="none" w:sz="0" w:space="0" w:color="auto"/>
        <w:left w:val="none" w:sz="0" w:space="0" w:color="auto"/>
        <w:bottom w:val="none" w:sz="0" w:space="0" w:color="auto"/>
        <w:right w:val="none" w:sz="0" w:space="0" w:color="auto"/>
      </w:divBdr>
    </w:div>
    <w:div w:id="990717116">
      <w:marLeft w:val="0"/>
      <w:marRight w:val="0"/>
      <w:marTop w:val="0"/>
      <w:marBottom w:val="0"/>
      <w:divBdr>
        <w:top w:val="none" w:sz="0" w:space="0" w:color="auto"/>
        <w:left w:val="none" w:sz="0" w:space="0" w:color="auto"/>
        <w:bottom w:val="none" w:sz="0" w:space="0" w:color="auto"/>
        <w:right w:val="none" w:sz="0" w:space="0" w:color="auto"/>
      </w:divBdr>
    </w:div>
    <w:div w:id="990717117">
      <w:marLeft w:val="0"/>
      <w:marRight w:val="0"/>
      <w:marTop w:val="0"/>
      <w:marBottom w:val="0"/>
      <w:divBdr>
        <w:top w:val="none" w:sz="0" w:space="0" w:color="auto"/>
        <w:left w:val="none" w:sz="0" w:space="0" w:color="auto"/>
        <w:bottom w:val="none" w:sz="0" w:space="0" w:color="auto"/>
        <w:right w:val="none" w:sz="0" w:space="0" w:color="auto"/>
      </w:divBdr>
    </w:div>
    <w:div w:id="990717119">
      <w:marLeft w:val="0"/>
      <w:marRight w:val="0"/>
      <w:marTop w:val="0"/>
      <w:marBottom w:val="0"/>
      <w:divBdr>
        <w:top w:val="none" w:sz="0" w:space="0" w:color="auto"/>
        <w:left w:val="none" w:sz="0" w:space="0" w:color="auto"/>
        <w:bottom w:val="none" w:sz="0" w:space="0" w:color="auto"/>
        <w:right w:val="none" w:sz="0" w:space="0" w:color="auto"/>
      </w:divBdr>
    </w:div>
    <w:div w:id="990717121">
      <w:marLeft w:val="0"/>
      <w:marRight w:val="0"/>
      <w:marTop w:val="0"/>
      <w:marBottom w:val="0"/>
      <w:divBdr>
        <w:top w:val="none" w:sz="0" w:space="0" w:color="auto"/>
        <w:left w:val="none" w:sz="0" w:space="0" w:color="auto"/>
        <w:bottom w:val="none" w:sz="0" w:space="0" w:color="auto"/>
        <w:right w:val="none" w:sz="0" w:space="0" w:color="auto"/>
      </w:divBdr>
    </w:div>
    <w:div w:id="990717122">
      <w:marLeft w:val="0"/>
      <w:marRight w:val="0"/>
      <w:marTop w:val="0"/>
      <w:marBottom w:val="0"/>
      <w:divBdr>
        <w:top w:val="none" w:sz="0" w:space="0" w:color="auto"/>
        <w:left w:val="none" w:sz="0" w:space="0" w:color="auto"/>
        <w:bottom w:val="none" w:sz="0" w:space="0" w:color="auto"/>
        <w:right w:val="none" w:sz="0" w:space="0" w:color="auto"/>
      </w:divBdr>
    </w:div>
    <w:div w:id="990717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ederalregister.gov/a/2014-20926"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Adiversion.usdoj.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adiversion.usdoj.gov/21cfr/21usc/802.htm" TargetMode="External"/><Relationship Id="rId4" Type="http://schemas.openxmlformats.org/officeDocument/2006/relationships/settings" Target="settings.xml"/><Relationship Id="rId9" Type="http://schemas.openxmlformats.org/officeDocument/2006/relationships/hyperlink" Target="http://www.deadiversion.usdoj.gov/drug_disposa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margaret.shield@kingcounty.gov" TargetMode="External"/><Relationship Id="rId1" Type="http://schemas.openxmlformats.org/officeDocument/2006/relationships/hyperlink" Target="mailto:dave.galvin@king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3520</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Summary of the Drug Enforcement Administration’s</vt:lpstr>
    </vt:vector>
  </TitlesOfParts>
  <Company>Hewlett-Packard</Company>
  <LinksUpToDate>false</LinksUpToDate>
  <CharactersWithSpaces>24246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Drug Enforcement Administration’s</dc:title>
  <dc:creator>User</dc:creator>
  <cp:lastModifiedBy>Shield, Margaret</cp:lastModifiedBy>
  <cp:revision>4</cp:revision>
  <cp:lastPrinted>2014-09-17T22:55:00Z</cp:lastPrinted>
  <dcterms:created xsi:type="dcterms:W3CDTF">2014-09-18T21:02:00Z</dcterms:created>
  <dcterms:modified xsi:type="dcterms:W3CDTF">2014-09-18T21:07:00Z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0x0101000BFB00B64C80AD4F8CADE0BDEB0E8EFA</vt:lpwstr>
  </property>
  <property fmtid="{D5CDD505-2E9C-101B-9397-08002B2CF9AE}" pid="3" name="Final Rule Review Documents">
    <vt:lpwstr/>
  </property>
  <property fmtid="{D5CDD505-2E9C-101B-9397-08002B2CF9AE}" pid="4" name="Draft Rule Review Documents">
    <vt:lpwstr/>
  </property>
  <property fmtid="{D5CDD505-2E9C-101B-9397-08002B2CF9AE}" pid="5" name="SubFolder">
    <vt:lpwstr>In-Progress -  Review Documents</vt:lpwstr>
  </property>
</Properties>
</file>