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96" w:rsidRPr="00AF2D0F" w:rsidRDefault="00EB4553" w:rsidP="003A4B96">
      <w:pPr>
        <w:jc w:val="center"/>
        <w:rPr>
          <w:b/>
          <w:sz w:val="26"/>
        </w:rPr>
      </w:pPr>
      <w:r>
        <w:rPr>
          <w:b/>
          <w:sz w:val="26"/>
        </w:rPr>
        <w:t xml:space="preserve">Impaired Driving </w:t>
      </w:r>
      <w:r w:rsidR="003A4B96">
        <w:rPr>
          <w:b/>
          <w:sz w:val="26"/>
        </w:rPr>
        <w:t>Traffic Safety Project Proposal</w:t>
      </w:r>
      <w:r w:rsidR="003A4B96" w:rsidRPr="00AF2D0F">
        <w:rPr>
          <w:b/>
          <w:sz w:val="26"/>
        </w:rPr>
        <w:t xml:space="preserve"> Overview </w:t>
      </w:r>
      <w:r w:rsidR="00E23430">
        <w:rPr>
          <w:b/>
          <w:sz w:val="26"/>
        </w:rPr>
        <w:t>and</w:t>
      </w:r>
      <w:r w:rsidR="003A4B96" w:rsidRPr="00AF2D0F">
        <w:rPr>
          <w:b/>
          <w:sz w:val="26"/>
        </w:rPr>
        <w:t xml:space="preserve"> Instructions</w:t>
      </w:r>
      <w:r>
        <w:rPr>
          <w:b/>
          <w:sz w:val="26"/>
        </w:rPr>
        <w:t xml:space="preserve"> for </w:t>
      </w:r>
      <w:r w:rsidRPr="00EB4553">
        <w:rPr>
          <w:b/>
          <w:sz w:val="26"/>
        </w:rPr>
        <w:t>2015-2017 Biennium</w:t>
      </w:r>
    </w:p>
    <w:p w:rsidR="003A4B96" w:rsidRDefault="00943A0A" w:rsidP="003A4B96">
      <w:pPr>
        <w:rPr>
          <w:b/>
        </w:rPr>
      </w:pPr>
      <w:r>
        <w:rPr>
          <w:sz w:val="20"/>
        </w:rPr>
        <w:pict>
          <v:rect id="_x0000_i1025" style="width:0;height:1.5pt" o:hralign="center" o:hrstd="t" o:hr="t" fillcolor="#a0a0a0" stroked="f"/>
        </w:pict>
      </w:r>
    </w:p>
    <w:p w:rsidR="003A4B96" w:rsidRDefault="003A4B96" w:rsidP="003A4B96">
      <w:pPr>
        <w:rPr>
          <w:b/>
        </w:rPr>
      </w:pPr>
    </w:p>
    <w:p w:rsidR="008466FD" w:rsidRPr="009F327F" w:rsidRDefault="008466FD" w:rsidP="008466FD">
      <w:pPr>
        <w:rPr>
          <w:b/>
        </w:rPr>
      </w:pPr>
      <w:r w:rsidRPr="009F327F">
        <w:rPr>
          <w:b/>
        </w:rPr>
        <w:t>What is Target Zero?</w:t>
      </w:r>
    </w:p>
    <w:p w:rsidR="008466FD" w:rsidRPr="00F46AAD" w:rsidRDefault="008466FD" w:rsidP="008466FD">
      <w:pPr>
        <w:rPr>
          <w:noProof/>
        </w:rPr>
      </w:pPr>
      <w:r>
        <w:t xml:space="preserve">Washington is building traffic safety partnerships throughout the state to align priorities and leverage resources to improve traffic safety. The Target Zero Plan is the result of this work and represents Washington’s strategic roadmap for eliminating traffic fatalities and serious injuries by the year 2030. The Target Zero Plan provides a comprehensive framework with specific priorities, goals, objectives, and strategies. Successful grant proposals are aligned with the Target Zero priorities and utilize its proven strategies or consist of innovative strategies with an accompanying evaluation plan. The 2013 Target Zero Plan is available at </w:t>
      </w:r>
      <w:hyperlink r:id="rId8" w:history="1">
        <w:r w:rsidRPr="0000472E">
          <w:rPr>
            <w:rStyle w:val="Hyperlink"/>
            <w:noProof/>
          </w:rPr>
          <w:t>http://targetzero.com/</w:t>
        </w:r>
      </w:hyperlink>
      <w:r>
        <w:rPr>
          <w:noProof/>
          <w:color w:val="1237EE"/>
        </w:rPr>
        <w:t xml:space="preserve">. </w:t>
      </w:r>
    </w:p>
    <w:p w:rsidR="008466FD" w:rsidRDefault="008466FD" w:rsidP="008466FD"/>
    <w:p w:rsidR="008466FD" w:rsidRPr="009F327F" w:rsidRDefault="008466FD" w:rsidP="008466FD">
      <w:pPr>
        <w:rPr>
          <w:b/>
        </w:rPr>
      </w:pPr>
      <w:r w:rsidRPr="009F327F">
        <w:rPr>
          <w:b/>
        </w:rPr>
        <w:t>Wha</w:t>
      </w:r>
      <w:r w:rsidR="0049055D">
        <w:rPr>
          <w:b/>
        </w:rPr>
        <w:t>t is Washington’s Impaired Driving Advisory Council</w:t>
      </w:r>
      <w:r w:rsidRPr="009F327F">
        <w:rPr>
          <w:b/>
        </w:rPr>
        <w:t>?</w:t>
      </w:r>
    </w:p>
    <w:p w:rsidR="0049055D" w:rsidRDefault="0049055D" w:rsidP="0049055D">
      <w:pPr>
        <w:rPr>
          <w:noProof/>
        </w:rPr>
      </w:pPr>
      <w:r>
        <w:rPr>
          <w:noProof/>
        </w:rPr>
        <w:t>In alignment with the Target Zero Plan, Washington’s Impaired Driving Advisory Council (WIDAC) provides a comprehensive strategy for preventing and reducing impaired driving behaviors. WIDAC’s coordinating agency is the Washington Traffic Safety Commission (WTSC) and WIDAC is chaired by the WTSC Director.</w:t>
      </w:r>
    </w:p>
    <w:p w:rsidR="0049055D" w:rsidRDefault="0049055D" w:rsidP="0049055D">
      <w:pPr>
        <w:rPr>
          <w:noProof/>
        </w:rPr>
      </w:pPr>
      <w:r>
        <w:rPr>
          <w:noProof/>
        </w:rPr>
        <w:t> </w:t>
      </w:r>
    </w:p>
    <w:p w:rsidR="00C3058E" w:rsidRDefault="0049055D" w:rsidP="0049055D">
      <w:pPr>
        <w:rPr>
          <w:noProof/>
        </w:rPr>
      </w:pPr>
      <w:r>
        <w:rPr>
          <w:noProof/>
        </w:rPr>
        <w:t>WIDAC was formed by a Memorandum of Understanding in June</w:t>
      </w:r>
      <w:r w:rsidR="00C3058E">
        <w:rPr>
          <w:noProof/>
        </w:rPr>
        <w:t xml:space="preserve"> </w:t>
      </w:r>
      <w:r>
        <w:rPr>
          <w:noProof/>
        </w:rPr>
        <w:t>2009.</w:t>
      </w:r>
      <w:r w:rsidR="003F1DBB">
        <w:rPr>
          <w:noProof/>
        </w:rPr>
        <w:t xml:space="preserve"> </w:t>
      </w:r>
      <w:r>
        <w:rPr>
          <w:noProof/>
        </w:rPr>
        <w:t>The WIDAC is composed of 14 signing agency representatives, an expanding group of advisory members, and staff. WIDAC membership includes all appropriate stakeholders and meets the membership requirements of MAP-21.</w:t>
      </w:r>
      <w:r w:rsidR="003F1DBB">
        <w:rPr>
          <w:noProof/>
        </w:rPr>
        <w:t xml:space="preserve"> </w:t>
      </w:r>
      <w:r>
        <w:rPr>
          <w:noProof/>
        </w:rPr>
        <w:t xml:space="preserve">Stakeholders include representatives from the highway safety office, law enforcement, prosecution, adjudication and probation, treatment/rehabilitation, </w:t>
      </w:r>
      <w:r w:rsidR="00A63779">
        <w:rPr>
          <w:noProof/>
        </w:rPr>
        <w:t xml:space="preserve">driver licensing, </w:t>
      </w:r>
      <w:r>
        <w:rPr>
          <w:noProof/>
        </w:rPr>
        <w:t>ignition interlock programs, data and traffic records, public health, and communication. They provide input about:</w:t>
      </w:r>
    </w:p>
    <w:p w:rsidR="0049055D" w:rsidRDefault="00A63779" w:rsidP="00C3058E">
      <w:pPr>
        <w:ind w:left="720" w:hanging="360"/>
        <w:rPr>
          <w:noProof/>
        </w:rPr>
      </w:pPr>
      <w:r>
        <w:rPr>
          <w:noProof/>
        </w:rPr>
        <w:t>•</w:t>
      </w:r>
      <w:r>
        <w:rPr>
          <w:noProof/>
        </w:rPr>
        <w:tab/>
        <w:t>A</w:t>
      </w:r>
      <w:r w:rsidR="0049055D">
        <w:rPr>
          <w:noProof/>
        </w:rPr>
        <w:t>djudication</w:t>
      </w:r>
    </w:p>
    <w:p w:rsidR="0049055D" w:rsidRDefault="0049055D" w:rsidP="00C3058E">
      <w:pPr>
        <w:ind w:left="720" w:hanging="360"/>
        <w:rPr>
          <w:noProof/>
        </w:rPr>
      </w:pPr>
      <w:r>
        <w:rPr>
          <w:noProof/>
        </w:rPr>
        <w:t>•</w:t>
      </w:r>
      <w:r>
        <w:rPr>
          <w:noProof/>
        </w:rPr>
        <w:tab/>
      </w:r>
      <w:r w:rsidR="00A63779">
        <w:rPr>
          <w:noProof/>
        </w:rPr>
        <w:t>A</w:t>
      </w:r>
      <w:r>
        <w:rPr>
          <w:noProof/>
        </w:rPr>
        <w:t>dministrative sanctions and driver licensing programs</w:t>
      </w:r>
    </w:p>
    <w:p w:rsidR="0049055D" w:rsidRDefault="0049055D" w:rsidP="00C3058E">
      <w:pPr>
        <w:ind w:left="720" w:hanging="360"/>
        <w:rPr>
          <w:noProof/>
        </w:rPr>
      </w:pPr>
      <w:r>
        <w:rPr>
          <w:noProof/>
        </w:rPr>
        <w:t>•</w:t>
      </w:r>
      <w:r>
        <w:rPr>
          <w:noProof/>
        </w:rPr>
        <w:tab/>
      </w:r>
      <w:r w:rsidR="00A63779">
        <w:rPr>
          <w:noProof/>
        </w:rPr>
        <w:t>A</w:t>
      </w:r>
      <w:r>
        <w:rPr>
          <w:noProof/>
        </w:rPr>
        <w:t>lcohol and other drug misuse</w:t>
      </w:r>
    </w:p>
    <w:p w:rsidR="0049055D" w:rsidRDefault="0049055D" w:rsidP="00C3058E">
      <w:pPr>
        <w:ind w:left="720" w:hanging="360"/>
        <w:rPr>
          <w:noProof/>
        </w:rPr>
      </w:pPr>
      <w:r>
        <w:rPr>
          <w:noProof/>
        </w:rPr>
        <w:t>•</w:t>
      </w:r>
      <w:r>
        <w:rPr>
          <w:noProof/>
        </w:rPr>
        <w:tab/>
      </w:r>
      <w:r w:rsidR="00A63779">
        <w:rPr>
          <w:noProof/>
        </w:rPr>
        <w:t>C</w:t>
      </w:r>
      <w:r>
        <w:rPr>
          <w:noProof/>
        </w:rPr>
        <w:t>riminal justice system (law and policies, DUI enforcement and DUI training, prosecutor training)</w:t>
      </w:r>
    </w:p>
    <w:p w:rsidR="0049055D" w:rsidRDefault="0049055D" w:rsidP="00C3058E">
      <w:pPr>
        <w:ind w:left="720" w:hanging="360"/>
        <w:rPr>
          <w:noProof/>
        </w:rPr>
      </w:pPr>
      <w:r>
        <w:rPr>
          <w:noProof/>
        </w:rPr>
        <w:t>•</w:t>
      </w:r>
      <w:r>
        <w:rPr>
          <w:noProof/>
        </w:rPr>
        <w:tab/>
      </w:r>
      <w:r w:rsidR="00A63779">
        <w:rPr>
          <w:noProof/>
        </w:rPr>
        <w:t>I</w:t>
      </w:r>
      <w:r>
        <w:rPr>
          <w:noProof/>
        </w:rPr>
        <w:t>mpaired driving program management</w:t>
      </w:r>
    </w:p>
    <w:p w:rsidR="0049055D" w:rsidRDefault="00A63779" w:rsidP="00C3058E">
      <w:pPr>
        <w:ind w:left="720" w:hanging="360"/>
        <w:rPr>
          <w:noProof/>
        </w:rPr>
      </w:pPr>
      <w:r>
        <w:rPr>
          <w:noProof/>
        </w:rPr>
        <w:t>•</w:t>
      </w:r>
      <w:r>
        <w:rPr>
          <w:noProof/>
        </w:rPr>
        <w:tab/>
        <w:t>P</w:t>
      </w:r>
      <w:r w:rsidR="0049055D">
        <w:rPr>
          <w:noProof/>
        </w:rPr>
        <w:t>revention</w:t>
      </w:r>
    </w:p>
    <w:p w:rsidR="0049055D" w:rsidRDefault="00A63779" w:rsidP="00C3058E">
      <w:pPr>
        <w:ind w:left="720" w:hanging="360"/>
        <w:rPr>
          <w:noProof/>
        </w:rPr>
      </w:pPr>
      <w:r>
        <w:rPr>
          <w:noProof/>
        </w:rPr>
        <w:t>•</w:t>
      </w:r>
      <w:r>
        <w:rPr>
          <w:noProof/>
        </w:rPr>
        <w:tab/>
        <w:t>P</w:t>
      </w:r>
      <w:r w:rsidR="0049055D">
        <w:rPr>
          <w:noProof/>
        </w:rPr>
        <w:t>rogram evaluation and data</w:t>
      </w:r>
    </w:p>
    <w:p w:rsidR="008466FD" w:rsidRDefault="00A63779" w:rsidP="00C3058E">
      <w:pPr>
        <w:ind w:left="720" w:hanging="360"/>
        <w:rPr>
          <w:noProof/>
        </w:rPr>
      </w:pPr>
      <w:r>
        <w:rPr>
          <w:noProof/>
        </w:rPr>
        <w:t>•</w:t>
      </w:r>
      <w:r>
        <w:rPr>
          <w:noProof/>
        </w:rPr>
        <w:tab/>
        <w:t>O</w:t>
      </w:r>
      <w:r w:rsidR="0049055D">
        <w:rPr>
          <w:noProof/>
        </w:rPr>
        <w:t>ther topics as they emerge</w:t>
      </w:r>
    </w:p>
    <w:p w:rsidR="008466FD" w:rsidRDefault="008466FD" w:rsidP="008466FD">
      <w:pPr>
        <w:rPr>
          <w:noProof/>
        </w:rPr>
      </w:pPr>
    </w:p>
    <w:p w:rsidR="003C2368" w:rsidRPr="00E11D7D" w:rsidRDefault="00C06408" w:rsidP="00114A5B">
      <w:pPr>
        <w:rPr>
          <w:b/>
        </w:rPr>
      </w:pPr>
      <w:r>
        <w:rPr>
          <w:b/>
          <w:noProof/>
        </w:rPr>
        <w:t>What is</w:t>
      </w:r>
      <w:r w:rsidR="00DA12E3">
        <w:rPr>
          <w:b/>
          <w:noProof/>
        </w:rPr>
        <w:t xml:space="preserve"> Washington’s Impaired Driving </w:t>
      </w:r>
      <w:r w:rsidR="0049055D">
        <w:rPr>
          <w:b/>
          <w:noProof/>
        </w:rPr>
        <w:t>Strategic Plan</w:t>
      </w:r>
      <w:r w:rsidR="008466FD" w:rsidRPr="009F327F">
        <w:rPr>
          <w:b/>
          <w:noProof/>
        </w:rPr>
        <w:t>?</w:t>
      </w:r>
    </w:p>
    <w:p w:rsidR="008466FD" w:rsidRDefault="00114A5B" w:rsidP="00114A5B">
      <w:r>
        <w:t xml:space="preserve">Washington’s </w:t>
      </w:r>
      <w:hyperlink r:id="rId9" w:history="1">
        <w:r w:rsidRPr="00E11D7D">
          <w:rPr>
            <w:rStyle w:val="Hyperlink"/>
          </w:rPr>
          <w:t>Impaired Driving Strategic Pla</w:t>
        </w:r>
        <w:r w:rsidR="003C2368" w:rsidRPr="00E11D7D">
          <w:rPr>
            <w:rStyle w:val="Hyperlink"/>
          </w:rPr>
          <w:t>n</w:t>
        </w:r>
      </w:hyperlink>
      <w:r w:rsidR="003C2368">
        <w:t xml:space="preserve"> uses</w:t>
      </w:r>
      <w:r w:rsidR="00E11D7D">
        <w:t xml:space="preserve"> data and strategies from the </w:t>
      </w:r>
      <w:r w:rsidR="003C2368">
        <w:t xml:space="preserve">2013 </w:t>
      </w:r>
      <w:r>
        <w:t>Target Zero Pl</w:t>
      </w:r>
      <w:r w:rsidR="003C2368">
        <w:t xml:space="preserve">an’s Impaired Driving Section. </w:t>
      </w:r>
      <w:r w:rsidR="00E11D7D">
        <w:t>WIDAC members implement projects that</w:t>
      </w:r>
      <w:r w:rsidR="00E11D7D" w:rsidRPr="00E11D7D">
        <w:t xml:space="preserve"> address the highest priority recommendations. </w:t>
      </w:r>
      <w:r w:rsidR="00DA12E3">
        <w:t>Research and professional evaluation studies have validated the effectiveness of certain strategies in this plan for reducing impaired driving. Project proposals should reference the data and strategies in the Impaired Driving Strategic Plan.</w:t>
      </w:r>
    </w:p>
    <w:p w:rsidR="0049055D" w:rsidRDefault="0049055D" w:rsidP="008466FD"/>
    <w:p w:rsidR="008466FD" w:rsidRPr="00B43873" w:rsidRDefault="008466FD" w:rsidP="008466FD">
      <w:r>
        <w:t>In addition to reviewing the traffic safety strategies c</w:t>
      </w:r>
      <w:r w:rsidR="00E11D7D">
        <w:t>ontained in the Impaired Driving Strategic Plan</w:t>
      </w:r>
      <w:r>
        <w:t>, you may find it helpful to explore strategies contained in the following documents:</w:t>
      </w:r>
      <w:r w:rsidR="003F1DBB">
        <w:t xml:space="preserve"> </w:t>
      </w:r>
      <w:r>
        <w:br/>
      </w:r>
    </w:p>
    <w:p w:rsidR="008466FD" w:rsidRPr="00B43873" w:rsidRDefault="008466FD" w:rsidP="008466FD">
      <w:pPr>
        <w:numPr>
          <w:ilvl w:val="0"/>
          <w:numId w:val="3"/>
        </w:numPr>
      </w:pPr>
      <w:r w:rsidRPr="00A80165">
        <w:rPr>
          <w:i/>
        </w:rPr>
        <w:t>Countermeasures that Work</w:t>
      </w:r>
      <w:r>
        <w:t>, a</w:t>
      </w:r>
      <w:r w:rsidRPr="00B43873">
        <w:t xml:space="preserve"> joint publication by </w:t>
      </w:r>
      <w:r>
        <w:t>the National Highway Traffic Safety Administration (</w:t>
      </w:r>
      <w:r w:rsidRPr="00B43873">
        <w:t>NHTSA</w:t>
      </w:r>
      <w:r>
        <w:t>)</w:t>
      </w:r>
      <w:r w:rsidRPr="00B43873">
        <w:t xml:space="preserve"> and the Governor’s High</w:t>
      </w:r>
      <w:r>
        <w:t xml:space="preserve">way Safety Association (GHSA) - </w:t>
      </w:r>
      <w:hyperlink r:id="rId10" w:history="1">
        <w:r w:rsidRPr="00F72F4B">
          <w:rPr>
            <w:rStyle w:val="Hyperlink"/>
          </w:rPr>
          <w:t>http://www.nhtsa.dot.gov/people/injury/airbags/Countermeasures/index.htm</w:t>
        </w:r>
      </w:hyperlink>
      <w:r w:rsidRPr="00B43873">
        <w:t xml:space="preserve"> </w:t>
      </w:r>
      <w:r>
        <w:br/>
      </w:r>
    </w:p>
    <w:p w:rsidR="008466FD" w:rsidRDefault="008466FD" w:rsidP="008466FD">
      <w:pPr>
        <w:numPr>
          <w:ilvl w:val="0"/>
          <w:numId w:val="3"/>
        </w:numPr>
      </w:pPr>
      <w:r w:rsidRPr="00A80165">
        <w:rPr>
          <w:i/>
        </w:rPr>
        <w:lastRenderedPageBreak/>
        <w:t>American Association of State Highway &amp; Transportation Officials (AASHTO) Strategic Highway Safety Plan</w:t>
      </w:r>
      <w:r w:rsidRPr="00B43873">
        <w:t xml:space="preserve"> </w:t>
      </w:r>
      <w:hyperlink r:id="rId11" w:history="1">
        <w:r w:rsidRPr="00B43873">
          <w:rPr>
            <w:rStyle w:val="Hyperlink"/>
          </w:rPr>
          <w:t>http://safety.transportation.org/guides.aspx</w:t>
        </w:r>
      </w:hyperlink>
      <w:r>
        <w:br/>
      </w:r>
    </w:p>
    <w:p w:rsidR="008466FD" w:rsidRDefault="008466FD" w:rsidP="008466FD">
      <w:pPr>
        <w:rPr>
          <w:b/>
        </w:rPr>
      </w:pPr>
      <w:r w:rsidRPr="00E70B4F">
        <w:rPr>
          <w:b/>
        </w:rPr>
        <w:t>Wha</w:t>
      </w:r>
      <w:r w:rsidR="00231859">
        <w:rPr>
          <w:b/>
        </w:rPr>
        <w:t>t is the Process WIDAC</w:t>
      </w:r>
      <w:r>
        <w:rPr>
          <w:b/>
        </w:rPr>
        <w:t xml:space="preserve"> Uses to Award Grants?</w:t>
      </w:r>
    </w:p>
    <w:p w:rsidR="008466FD" w:rsidRPr="00B43873" w:rsidRDefault="008466FD" w:rsidP="008466FD">
      <w:r>
        <w:t>Once the deadline for submissi</w:t>
      </w:r>
      <w:r w:rsidR="00E33120">
        <w:t>on of proposals has closed, WIDAC members</w:t>
      </w:r>
      <w:r>
        <w:t xml:space="preserve"> will begin evaluating</w:t>
      </w:r>
      <w:r w:rsidRPr="00B43873">
        <w:t xml:space="preserve"> </w:t>
      </w:r>
      <w:r>
        <w:t xml:space="preserve">and scoring the </w:t>
      </w:r>
      <w:r w:rsidRPr="00B43873">
        <w:t>proposals.</w:t>
      </w:r>
      <w:r>
        <w:t xml:space="preserve"> Scoring is based on the answers provided to the six questions posed in the section entitled </w:t>
      </w:r>
      <w:r w:rsidRPr="00521069">
        <w:rPr>
          <w:i/>
        </w:rPr>
        <w:t>Project Proposal</w:t>
      </w:r>
      <w:r w:rsidR="00E33120">
        <w:t xml:space="preserve">, </w:t>
      </w:r>
      <w:r>
        <w:t>and how well the</w:t>
      </w:r>
      <w:r w:rsidR="00EB0F78">
        <w:t xml:space="preserve"> problem identification and the</w:t>
      </w:r>
      <w:r>
        <w:t xml:space="preserve"> pr</w:t>
      </w:r>
      <w:r w:rsidR="00EB4553">
        <w:t>oject alig</w:t>
      </w:r>
      <w:r w:rsidR="00943A0A">
        <w:t>n w</w:t>
      </w:r>
      <w:r w:rsidR="00EB4553">
        <w:t>ith Washington’s</w:t>
      </w:r>
      <w:r w:rsidR="00E33120">
        <w:t xml:space="preserve"> Impaired Driving St</w:t>
      </w:r>
      <w:r w:rsidR="003F1DBB">
        <w:t xml:space="preserve">rategic Plan. WIDAC members </w:t>
      </w:r>
      <w:r w:rsidR="00C3058E">
        <w:t>will develop an</w:t>
      </w:r>
      <w:r w:rsidR="003F1DBB">
        <w:t xml:space="preserve"> investment plan to propose to </w:t>
      </w:r>
      <w:r w:rsidR="00C3058E">
        <w:t xml:space="preserve">the </w:t>
      </w:r>
      <w:r w:rsidR="003F1DBB">
        <w:t xml:space="preserve">WTSC. This investment plan will be finalized </w:t>
      </w:r>
      <w:r w:rsidR="00C3058E">
        <w:t>at the January</w:t>
      </w:r>
      <w:r w:rsidR="00E33120">
        <w:t xml:space="preserve"> 20</w:t>
      </w:r>
      <w:bookmarkStart w:id="0" w:name="_GoBack"/>
      <w:bookmarkEnd w:id="0"/>
      <w:r w:rsidR="00E33120">
        <w:t>16</w:t>
      </w:r>
      <w:r>
        <w:t xml:space="preserve"> </w:t>
      </w:r>
      <w:r w:rsidR="003F1DBB">
        <w:t xml:space="preserve">WIDAC </w:t>
      </w:r>
      <w:r>
        <w:t>meeting.</w:t>
      </w:r>
    </w:p>
    <w:p w:rsidR="008466FD" w:rsidRDefault="008466FD" w:rsidP="008466FD"/>
    <w:p w:rsidR="008466FD" w:rsidRPr="00B43873" w:rsidRDefault="00EB4553" w:rsidP="008466FD">
      <w:r>
        <w:t>The WIDAC G</w:t>
      </w:r>
      <w:r w:rsidR="00E33120">
        <w:t>rants</w:t>
      </w:r>
      <w:r>
        <w:t xml:space="preserve"> C</w:t>
      </w:r>
      <w:r w:rsidR="00E33120">
        <w:t>oordinator</w:t>
      </w:r>
      <w:r w:rsidR="003F1DBB">
        <w:t xml:space="preserve"> will </w:t>
      </w:r>
      <w:r w:rsidR="008466FD">
        <w:t>notify applicants of t</w:t>
      </w:r>
      <w:r w:rsidR="00E33120">
        <w:t>he stat</w:t>
      </w:r>
      <w:r>
        <w:t>us of their proposal</w:t>
      </w:r>
      <w:r w:rsidR="003F1DBB">
        <w:t xml:space="preserve"> following the January meeting</w:t>
      </w:r>
      <w:r>
        <w:t>. The Grants C</w:t>
      </w:r>
      <w:r w:rsidR="00E33120">
        <w:t>oordinator</w:t>
      </w:r>
      <w:r w:rsidR="008466FD">
        <w:t xml:space="preserve"> will </w:t>
      </w:r>
      <w:r w:rsidR="00E23430">
        <w:t xml:space="preserve">then </w:t>
      </w:r>
      <w:r w:rsidR="008466FD">
        <w:t>work with award recipients to execute an Interagency Agreement for the project period o</w:t>
      </w:r>
      <w:r w:rsidR="00E33120">
        <w:t xml:space="preserve">f performance – </w:t>
      </w:r>
      <w:r w:rsidR="003F1DBB">
        <w:t xml:space="preserve">on or around </w:t>
      </w:r>
      <w:r w:rsidR="00E33120">
        <w:t>February 1</w:t>
      </w:r>
      <w:r w:rsidR="003F1DBB">
        <w:t>5</w:t>
      </w:r>
      <w:r w:rsidR="00E33120">
        <w:t>, 2016, through June 30, 2017</w:t>
      </w:r>
      <w:r w:rsidR="008466FD">
        <w:t>.</w:t>
      </w:r>
      <w:r w:rsidR="003F1DBB">
        <w:t xml:space="preserve"> </w:t>
      </w:r>
    </w:p>
    <w:p w:rsidR="008466FD" w:rsidRDefault="008466FD" w:rsidP="008466FD">
      <w:pPr>
        <w:rPr>
          <w:b/>
        </w:rPr>
      </w:pPr>
    </w:p>
    <w:p w:rsidR="008466FD" w:rsidRPr="009F327F" w:rsidRDefault="008466FD" w:rsidP="008466FD">
      <w:pPr>
        <w:rPr>
          <w:b/>
          <w:highlight w:val="yellow"/>
        </w:rPr>
      </w:pPr>
      <w:r>
        <w:rPr>
          <w:b/>
        </w:rPr>
        <w:t>What is the Schedule for the Grant Process?</w:t>
      </w:r>
    </w:p>
    <w:tbl>
      <w:tblPr>
        <w:tblStyle w:val="TableGrid"/>
        <w:tblW w:w="0" w:type="auto"/>
        <w:tblInd w:w="108" w:type="dxa"/>
        <w:tblLook w:val="04A0" w:firstRow="1" w:lastRow="0" w:firstColumn="1" w:lastColumn="0" w:noHBand="0" w:noVBand="1"/>
      </w:tblPr>
      <w:tblGrid>
        <w:gridCol w:w="5220"/>
        <w:gridCol w:w="4140"/>
      </w:tblGrid>
      <w:tr w:rsidR="008466FD" w:rsidTr="0049055D">
        <w:tc>
          <w:tcPr>
            <w:tcW w:w="5220" w:type="dxa"/>
            <w:shd w:val="clear" w:color="auto" w:fill="D9D9D9" w:themeFill="background1" w:themeFillShade="D9"/>
          </w:tcPr>
          <w:p w:rsidR="008466FD" w:rsidRPr="00BF1B41" w:rsidRDefault="008466FD" w:rsidP="0049055D">
            <w:pPr>
              <w:tabs>
                <w:tab w:val="left" w:pos="5040"/>
              </w:tabs>
              <w:jc w:val="center"/>
              <w:rPr>
                <w:b/>
              </w:rPr>
            </w:pPr>
            <w:r w:rsidRPr="00BF1B41">
              <w:rPr>
                <w:b/>
              </w:rPr>
              <w:t>Event</w:t>
            </w:r>
          </w:p>
        </w:tc>
        <w:tc>
          <w:tcPr>
            <w:tcW w:w="4140" w:type="dxa"/>
            <w:shd w:val="clear" w:color="auto" w:fill="D9D9D9" w:themeFill="background1" w:themeFillShade="D9"/>
          </w:tcPr>
          <w:p w:rsidR="008466FD" w:rsidRPr="00BF1B41" w:rsidRDefault="008466FD" w:rsidP="0049055D">
            <w:pPr>
              <w:tabs>
                <w:tab w:val="left" w:pos="5040"/>
              </w:tabs>
              <w:jc w:val="center"/>
              <w:rPr>
                <w:b/>
              </w:rPr>
            </w:pPr>
            <w:r w:rsidRPr="00BF1B41">
              <w:rPr>
                <w:b/>
              </w:rPr>
              <w:t>Date</w:t>
            </w:r>
          </w:p>
        </w:tc>
      </w:tr>
      <w:tr w:rsidR="008466FD" w:rsidTr="0049055D">
        <w:tc>
          <w:tcPr>
            <w:tcW w:w="5220" w:type="dxa"/>
          </w:tcPr>
          <w:p w:rsidR="008466FD" w:rsidRDefault="008466FD" w:rsidP="0049055D">
            <w:pPr>
              <w:tabs>
                <w:tab w:val="left" w:pos="5040"/>
              </w:tabs>
            </w:pPr>
            <w:r>
              <w:t>Notification of available grants is published</w:t>
            </w:r>
          </w:p>
        </w:tc>
        <w:tc>
          <w:tcPr>
            <w:tcW w:w="4140" w:type="dxa"/>
          </w:tcPr>
          <w:p w:rsidR="008466FD" w:rsidRDefault="00231859" w:rsidP="007C6E09">
            <w:pPr>
              <w:tabs>
                <w:tab w:val="left" w:pos="5040"/>
              </w:tabs>
            </w:pPr>
            <w:r>
              <w:t xml:space="preserve">August </w:t>
            </w:r>
            <w:r w:rsidR="00B67DD3">
              <w:t>20</w:t>
            </w:r>
            <w:r>
              <w:t>, 2015</w:t>
            </w:r>
          </w:p>
        </w:tc>
      </w:tr>
      <w:tr w:rsidR="008466FD" w:rsidTr="0049055D">
        <w:tc>
          <w:tcPr>
            <w:tcW w:w="5220" w:type="dxa"/>
          </w:tcPr>
          <w:p w:rsidR="008466FD" w:rsidRDefault="008466FD" w:rsidP="0049055D">
            <w:pPr>
              <w:tabs>
                <w:tab w:val="left" w:pos="5040"/>
              </w:tabs>
            </w:pPr>
            <w:r>
              <w:t>Applicant question/proposal preparation period</w:t>
            </w:r>
          </w:p>
        </w:tc>
        <w:tc>
          <w:tcPr>
            <w:tcW w:w="4140" w:type="dxa"/>
          </w:tcPr>
          <w:p w:rsidR="008466FD" w:rsidRDefault="00231859" w:rsidP="007C6E09">
            <w:pPr>
              <w:tabs>
                <w:tab w:val="left" w:pos="5040"/>
              </w:tabs>
            </w:pPr>
            <w:r>
              <w:t xml:space="preserve">August </w:t>
            </w:r>
            <w:r w:rsidR="00B67DD3">
              <w:t>20</w:t>
            </w:r>
            <w:r>
              <w:t>, 2015 – October 30, 2015</w:t>
            </w:r>
          </w:p>
        </w:tc>
      </w:tr>
      <w:tr w:rsidR="008466FD" w:rsidTr="0049055D">
        <w:tc>
          <w:tcPr>
            <w:tcW w:w="5220" w:type="dxa"/>
          </w:tcPr>
          <w:p w:rsidR="008466FD" w:rsidRDefault="008466FD" w:rsidP="0049055D">
            <w:pPr>
              <w:tabs>
                <w:tab w:val="left" w:pos="5040"/>
              </w:tabs>
            </w:pPr>
            <w:r>
              <w:t>Proposals due</w:t>
            </w:r>
          </w:p>
        </w:tc>
        <w:tc>
          <w:tcPr>
            <w:tcW w:w="4140" w:type="dxa"/>
          </w:tcPr>
          <w:p w:rsidR="008466FD" w:rsidRDefault="00231859" w:rsidP="0049055D">
            <w:pPr>
              <w:tabs>
                <w:tab w:val="left" w:pos="5040"/>
              </w:tabs>
            </w:pPr>
            <w:r>
              <w:t>October 30, 2015</w:t>
            </w:r>
          </w:p>
        </w:tc>
      </w:tr>
      <w:tr w:rsidR="008466FD" w:rsidTr="0049055D">
        <w:tc>
          <w:tcPr>
            <w:tcW w:w="5220" w:type="dxa"/>
          </w:tcPr>
          <w:p w:rsidR="008466FD" w:rsidRDefault="003F1DBB" w:rsidP="0049055D">
            <w:pPr>
              <w:tabs>
                <w:tab w:val="left" w:pos="5040"/>
              </w:tabs>
            </w:pPr>
            <w:r>
              <w:t>WIDAC</w:t>
            </w:r>
            <w:r w:rsidR="008466FD">
              <w:t xml:space="preserve"> evaluates proposals</w:t>
            </w:r>
          </w:p>
        </w:tc>
        <w:tc>
          <w:tcPr>
            <w:tcW w:w="4140" w:type="dxa"/>
          </w:tcPr>
          <w:p w:rsidR="008466FD" w:rsidRDefault="00231859" w:rsidP="0049055D">
            <w:pPr>
              <w:tabs>
                <w:tab w:val="left" w:pos="5040"/>
              </w:tabs>
            </w:pPr>
            <w:r>
              <w:t>November 2 – December 31, 2015</w:t>
            </w:r>
          </w:p>
        </w:tc>
      </w:tr>
      <w:tr w:rsidR="008466FD" w:rsidTr="0049055D">
        <w:tc>
          <w:tcPr>
            <w:tcW w:w="5220" w:type="dxa"/>
          </w:tcPr>
          <w:p w:rsidR="008466FD" w:rsidRDefault="00C3058E" w:rsidP="0049055D">
            <w:pPr>
              <w:tabs>
                <w:tab w:val="left" w:pos="5040"/>
              </w:tabs>
            </w:pPr>
            <w:r>
              <w:t>Funding d</w:t>
            </w:r>
            <w:r w:rsidR="00231859">
              <w:t>ecisions</w:t>
            </w:r>
          </w:p>
        </w:tc>
        <w:tc>
          <w:tcPr>
            <w:tcW w:w="4140" w:type="dxa"/>
          </w:tcPr>
          <w:p w:rsidR="008466FD" w:rsidRDefault="003F1DBB" w:rsidP="00C3058E">
            <w:pPr>
              <w:tabs>
                <w:tab w:val="left" w:pos="5040"/>
              </w:tabs>
            </w:pPr>
            <w:r>
              <w:t>January 2016</w:t>
            </w:r>
          </w:p>
        </w:tc>
      </w:tr>
      <w:tr w:rsidR="008466FD" w:rsidTr="0049055D">
        <w:tc>
          <w:tcPr>
            <w:tcW w:w="5220" w:type="dxa"/>
          </w:tcPr>
          <w:p w:rsidR="008466FD" w:rsidRDefault="008466FD" w:rsidP="0049055D">
            <w:pPr>
              <w:tabs>
                <w:tab w:val="left" w:pos="5040"/>
              </w:tabs>
            </w:pPr>
            <w:r>
              <w:t>Notify applicants</w:t>
            </w:r>
            <w:r w:rsidR="0076232E">
              <w:t xml:space="preserve"> of funding decisions</w:t>
            </w:r>
          </w:p>
        </w:tc>
        <w:tc>
          <w:tcPr>
            <w:tcW w:w="4140" w:type="dxa"/>
          </w:tcPr>
          <w:p w:rsidR="008466FD" w:rsidRDefault="00231859" w:rsidP="00C3058E">
            <w:pPr>
              <w:tabs>
                <w:tab w:val="left" w:pos="5040"/>
              </w:tabs>
            </w:pPr>
            <w:r>
              <w:t>January 2016</w:t>
            </w:r>
          </w:p>
        </w:tc>
      </w:tr>
      <w:tr w:rsidR="008466FD" w:rsidTr="0049055D">
        <w:tc>
          <w:tcPr>
            <w:tcW w:w="5220" w:type="dxa"/>
          </w:tcPr>
          <w:p w:rsidR="008466FD" w:rsidRDefault="00E23430" w:rsidP="0049055D">
            <w:pPr>
              <w:tabs>
                <w:tab w:val="left" w:pos="5040"/>
              </w:tabs>
            </w:pPr>
            <w:r>
              <w:t>Negotiate and</w:t>
            </w:r>
            <w:r w:rsidR="003F1DBB">
              <w:t xml:space="preserve"> finalize Interagency Agreements</w:t>
            </w:r>
          </w:p>
        </w:tc>
        <w:tc>
          <w:tcPr>
            <w:tcW w:w="4140" w:type="dxa"/>
          </w:tcPr>
          <w:p w:rsidR="008466FD" w:rsidRDefault="00E33120" w:rsidP="00C3058E">
            <w:pPr>
              <w:tabs>
                <w:tab w:val="left" w:pos="5040"/>
              </w:tabs>
            </w:pPr>
            <w:r>
              <w:t>January – February 2016</w:t>
            </w:r>
          </w:p>
        </w:tc>
      </w:tr>
      <w:tr w:rsidR="008466FD" w:rsidTr="0049055D">
        <w:tc>
          <w:tcPr>
            <w:tcW w:w="5220" w:type="dxa"/>
          </w:tcPr>
          <w:p w:rsidR="008466FD" w:rsidRDefault="008466FD" w:rsidP="0049055D">
            <w:pPr>
              <w:tabs>
                <w:tab w:val="left" w:pos="5040"/>
              </w:tabs>
            </w:pPr>
            <w:r>
              <w:t>Project start date</w:t>
            </w:r>
          </w:p>
        </w:tc>
        <w:tc>
          <w:tcPr>
            <w:tcW w:w="4140" w:type="dxa"/>
          </w:tcPr>
          <w:p w:rsidR="008466FD" w:rsidRDefault="003F1DBB" w:rsidP="0049055D">
            <w:pPr>
              <w:tabs>
                <w:tab w:val="left" w:pos="5040"/>
              </w:tabs>
            </w:pPr>
            <w:r>
              <w:t xml:space="preserve">Approximately </w:t>
            </w:r>
            <w:r w:rsidR="00E33120">
              <w:t>February 15, 2016</w:t>
            </w:r>
          </w:p>
        </w:tc>
      </w:tr>
      <w:tr w:rsidR="008466FD" w:rsidTr="0049055D">
        <w:tc>
          <w:tcPr>
            <w:tcW w:w="5220" w:type="dxa"/>
          </w:tcPr>
          <w:p w:rsidR="008466FD" w:rsidRDefault="008466FD" w:rsidP="0049055D">
            <w:pPr>
              <w:tabs>
                <w:tab w:val="left" w:pos="5040"/>
              </w:tabs>
            </w:pPr>
            <w:r w:rsidRPr="00B43873">
              <w:t>Projec</w:t>
            </w:r>
            <w:r>
              <w:t>t end date</w:t>
            </w:r>
          </w:p>
        </w:tc>
        <w:tc>
          <w:tcPr>
            <w:tcW w:w="4140" w:type="dxa"/>
          </w:tcPr>
          <w:p w:rsidR="008466FD" w:rsidRDefault="00E33120" w:rsidP="0049055D">
            <w:pPr>
              <w:tabs>
                <w:tab w:val="left" w:pos="5040"/>
              </w:tabs>
            </w:pPr>
            <w:r>
              <w:t>June</w:t>
            </w:r>
            <w:r w:rsidR="008466FD" w:rsidRPr="00B43873">
              <w:t xml:space="preserve"> 30, 201</w:t>
            </w:r>
            <w:r>
              <w:t>7</w:t>
            </w:r>
          </w:p>
        </w:tc>
      </w:tr>
    </w:tbl>
    <w:p w:rsidR="008466FD" w:rsidRDefault="008466FD" w:rsidP="008466FD">
      <w:pPr>
        <w:tabs>
          <w:tab w:val="left" w:pos="5040"/>
        </w:tabs>
      </w:pPr>
    </w:p>
    <w:p w:rsidR="008466FD" w:rsidRDefault="008466FD" w:rsidP="008466FD">
      <w:pPr>
        <w:rPr>
          <w:b/>
        </w:rPr>
      </w:pPr>
      <w:r w:rsidRPr="003E7489">
        <w:rPr>
          <w:b/>
        </w:rPr>
        <w:t xml:space="preserve">Who is </w:t>
      </w:r>
      <w:r>
        <w:rPr>
          <w:b/>
        </w:rPr>
        <w:t>E</w:t>
      </w:r>
      <w:r w:rsidRPr="003E7489">
        <w:rPr>
          <w:b/>
        </w:rPr>
        <w:t xml:space="preserve">ligible to </w:t>
      </w:r>
      <w:r>
        <w:rPr>
          <w:b/>
        </w:rPr>
        <w:t>R</w:t>
      </w:r>
      <w:r w:rsidR="00231859">
        <w:rPr>
          <w:b/>
        </w:rPr>
        <w:t>eceive WIDAC</w:t>
      </w:r>
      <w:r w:rsidRPr="003E7489">
        <w:rPr>
          <w:b/>
        </w:rPr>
        <w:t xml:space="preserve"> </w:t>
      </w:r>
      <w:r>
        <w:rPr>
          <w:b/>
        </w:rPr>
        <w:t>G</w:t>
      </w:r>
      <w:r w:rsidRPr="003E7489">
        <w:rPr>
          <w:b/>
        </w:rPr>
        <w:t>rants?</w:t>
      </w:r>
    </w:p>
    <w:p w:rsidR="008466FD" w:rsidRPr="00B43873" w:rsidRDefault="008466FD" w:rsidP="008466FD">
      <w:pPr>
        <w:numPr>
          <w:ilvl w:val="0"/>
          <w:numId w:val="2"/>
        </w:numPr>
      </w:pPr>
      <w:r w:rsidRPr="00B43873">
        <w:t xml:space="preserve">Washington </w:t>
      </w:r>
      <w:r>
        <w:t>S</w:t>
      </w:r>
      <w:r w:rsidRPr="00B43873">
        <w:t>tate agencies</w:t>
      </w:r>
    </w:p>
    <w:p w:rsidR="008466FD" w:rsidRPr="00B43873" w:rsidRDefault="008466FD" w:rsidP="008466FD">
      <w:pPr>
        <w:pStyle w:val="BodyText2"/>
        <w:numPr>
          <w:ilvl w:val="0"/>
          <w:numId w:val="1"/>
        </w:numPr>
      </w:pPr>
      <w:r w:rsidRPr="00B43873">
        <w:t>Federally recognized tribal governments</w:t>
      </w:r>
    </w:p>
    <w:p w:rsidR="008466FD" w:rsidRPr="00B43873" w:rsidRDefault="008466FD" w:rsidP="008466FD">
      <w:pPr>
        <w:pStyle w:val="BodyText2"/>
        <w:numPr>
          <w:ilvl w:val="0"/>
          <w:numId w:val="1"/>
        </w:numPr>
      </w:pPr>
      <w:r w:rsidRPr="00B43873">
        <w:t>Cities, counties</w:t>
      </w:r>
      <w:r>
        <w:t>,</w:t>
      </w:r>
      <w:r w:rsidRPr="00B43873">
        <w:t xml:space="preserve"> and their sub-agencies</w:t>
      </w:r>
    </w:p>
    <w:p w:rsidR="008466FD" w:rsidRPr="00B43873" w:rsidRDefault="008466FD" w:rsidP="008466FD">
      <w:pPr>
        <w:pStyle w:val="BodyText2"/>
        <w:numPr>
          <w:ilvl w:val="0"/>
          <w:numId w:val="1"/>
        </w:numPr>
      </w:pPr>
      <w:r w:rsidRPr="00B43873">
        <w:t>Non-profit orga</w:t>
      </w:r>
      <w:r>
        <w:t>nizations with existing IRS 501(c)(3)</w:t>
      </w:r>
      <w:r w:rsidRPr="00B43873">
        <w:t xml:space="preserve"> status</w:t>
      </w:r>
    </w:p>
    <w:p w:rsidR="008466FD" w:rsidRPr="00B43873" w:rsidRDefault="008466FD" w:rsidP="008466FD">
      <w:pPr>
        <w:pStyle w:val="BodyText2"/>
        <w:numPr>
          <w:ilvl w:val="0"/>
          <w:numId w:val="1"/>
        </w:numPr>
        <w:rPr>
          <w:b/>
        </w:rPr>
      </w:pPr>
      <w:r w:rsidRPr="00B43873">
        <w:t>Public schools (and private schools with non-profit status)</w:t>
      </w:r>
    </w:p>
    <w:p w:rsidR="008466FD" w:rsidRDefault="008466FD" w:rsidP="008466FD"/>
    <w:p w:rsidR="008466FD" w:rsidRPr="002600F9" w:rsidRDefault="008466FD" w:rsidP="008466FD">
      <w:r w:rsidRPr="003E7489">
        <w:rPr>
          <w:b/>
        </w:rPr>
        <w:t xml:space="preserve">What are the </w:t>
      </w:r>
      <w:r>
        <w:rPr>
          <w:b/>
        </w:rPr>
        <w:t>M</w:t>
      </w:r>
      <w:r w:rsidRPr="003E7489">
        <w:rPr>
          <w:b/>
        </w:rPr>
        <w:t xml:space="preserve">inimum </w:t>
      </w:r>
      <w:r>
        <w:rPr>
          <w:b/>
        </w:rPr>
        <w:t>Q</w:t>
      </w:r>
      <w:r w:rsidRPr="003E7489">
        <w:rPr>
          <w:b/>
        </w:rPr>
        <w:t xml:space="preserve">ualifications </w:t>
      </w:r>
      <w:r>
        <w:rPr>
          <w:b/>
        </w:rPr>
        <w:t>to Receive a Grant</w:t>
      </w:r>
      <w:r w:rsidRPr="003E7489">
        <w:rPr>
          <w:b/>
        </w:rPr>
        <w:t>?</w:t>
      </w:r>
    </w:p>
    <w:p w:rsidR="008466FD" w:rsidRDefault="008466FD" w:rsidP="008466FD">
      <w:r w:rsidRPr="00B43873">
        <w:t>Elig</w:t>
      </w:r>
      <w:r>
        <w:t xml:space="preserve">ible agencies or organizations </w:t>
      </w:r>
      <w:r w:rsidRPr="00B43873">
        <w:t>must be able to:</w:t>
      </w:r>
    </w:p>
    <w:p w:rsidR="008466FD" w:rsidRPr="00B43873" w:rsidRDefault="008466FD" w:rsidP="008466FD">
      <w:pPr>
        <w:numPr>
          <w:ilvl w:val="0"/>
          <w:numId w:val="2"/>
        </w:numPr>
      </w:pPr>
      <w:r w:rsidRPr="00B43873">
        <w:t>Manage public funds efficiently and ethically</w:t>
      </w:r>
      <w:r w:rsidR="00A63779">
        <w:t>.</w:t>
      </w:r>
    </w:p>
    <w:p w:rsidR="008466FD" w:rsidRPr="00B43873" w:rsidRDefault="008466FD" w:rsidP="008466FD">
      <w:pPr>
        <w:numPr>
          <w:ilvl w:val="0"/>
          <w:numId w:val="2"/>
        </w:numPr>
      </w:pPr>
      <w:r w:rsidRPr="00B43873">
        <w:t xml:space="preserve">Collaborate with other </w:t>
      </w:r>
      <w:r>
        <w:t>public, private, and non-profit organizations.</w:t>
      </w:r>
    </w:p>
    <w:p w:rsidR="008466FD" w:rsidRDefault="008466FD" w:rsidP="008466FD">
      <w:pPr>
        <w:numPr>
          <w:ilvl w:val="0"/>
          <w:numId w:val="2"/>
        </w:numPr>
      </w:pPr>
      <w:r>
        <w:t>Effectively monitor and</w:t>
      </w:r>
      <w:r w:rsidRPr="00B43873">
        <w:t xml:space="preserve"> evaluate the </w:t>
      </w:r>
      <w:r>
        <w:t>outcomes</w:t>
      </w:r>
      <w:r w:rsidRPr="00B43873">
        <w:t xml:space="preserve"> of a project</w:t>
      </w:r>
      <w:r>
        <w:t>.</w:t>
      </w:r>
    </w:p>
    <w:p w:rsidR="008466FD" w:rsidRPr="00B43873" w:rsidRDefault="008466FD" w:rsidP="008466FD">
      <w:pPr>
        <w:numPr>
          <w:ilvl w:val="0"/>
          <w:numId w:val="2"/>
        </w:numPr>
      </w:pPr>
      <w:r>
        <w:t xml:space="preserve">Adhere to the </w:t>
      </w:r>
      <w:r w:rsidR="00E33120">
        <w:rPr>
          <w:i/>
        </w:rPr>
        <w:t xml:space="preserve">State </w:t>
      </w:r>
      <w:r w:rsidRPr="003A7D0D">
        <w:rPr>
          <w:i/>
        </w:rPr>
        <w:t>Terms &amp; Conditions</w:t>
      </w:r>
      <w:r>
        <w:t xml:space="preserve"> of the grant including creating and submitting quarterly pro</w:t>
      </w:r>
      <w:r w:rsidR="00E33120">
        <w:t>ject reports to the WIDAC</w:t>
      </w:r>
      <w:r>
        <w:t xml:space="preserve"> contact.</w:t>
      </w:r>
    </w:p>
    <w:p w:rsidR="008466FD" w:rsidRPr="00B43873" w:rsidRDefault="008466FD" w:rsidP="008466FD"/>
    <w:p w:rsidR="008466FD" w:rsidRPr="003E7489" w:rsidRDefault="008466FD" w:rsidP="008466FD">
      <w:pPr>
        <w:rPr>
          <w:b/>
        </w:rPr>
      </w:pPr>
      <w:r w:rsidRPr="003E7489">
        <w:rPr>
          <w:b/>
        </w:rPr>
        <w:t xml:space="preserve">How are </w:t>
      </w:r>
      <w:r>
        <w:rPr>
          <w:b/>
        </w:rPr>
        <w:t>F</w:t>
      </w:r>
      <w:r w:rsidRPr="003E7489">
        <w:rPr>
          <w:b/>
        </w:rPr>
        <w:t xml:space="preserve">unds </w:t>
      </w:r>
      <w:r>
        <w:rPr>
          <w:b/>
        </w:rPr>
        <w:t>D</w:t>
      </w:r>
      <w:r w:rsidRPr="003E7489">
        <w:rPr>
          <w:b/>
        </w:rPr>
        <w:t>istributed?</w:t>
      </w:r>
      <w:r>
        <w:rPr>
          <w:b/>
        </w:rPr>
        <w:t xml:space="preserve"> </w:t>
      </w:r>
    </w:p>
    <w:p w:rsidR="008466FD" w:rsidRDefault="003F1DBB" w:rsidP="008466FD">
      <w:r>
        <w:t xml:space="preserve">As WIDAC’s coordinating agency, </w:t>
      </w:r>
      <w:r w:rsidR="008466FD" w:rsidRPr="00B43873">
        <w:t xml:space="preserve">WTSC </w:t>
      </w:r>
      <w:r w:rsidR="008466FD">
        <w:t xml:space="preserve">distributes funds </w:t>
      </w:r>
      <w:r w:rsidR="008466FD" w:rsidRPr="00B43873">
        <w:t>on a “cost reimbursement” basis only.</w:t>
      </w:r>
      <w:r w:rsidR="008466FD">
        <w:t xml:space="preserve"> </w:t>
      </w:r>
      <w:r w:rsidR="008466FD" w:rsidRPr="00B43873">
        <w:t xml:space="preserve">WTSC </w:t>
      </w:r>
      <w:r w:rsidR="008466FD">
        <w:t>does</w:t>
      </w:r>
      <w:r w:rsidR="008466FD" w:rsidRPr="00B43873">
        <w:t xml:space="preserve"> not make payments in advance or in anticipation of goods or services.</w:t>
      </w:r>
      <w:r w:rsidR="008466FD">
        <w:t xml:space="preserve"> </w:t>
      </w:r>
    </w:p>
    <w:p w:rsidR="008466FD" w:rsidRDefault="008466FD" w:rsidP="008466FD"/>
    <w:p w:rsidR="008466FD" w:rsidRPr="002600F9" w:rsidRDefault="008466FD" w:rsidP="008466FD">
      <w:pPr>
        <w:rPr>
          <w:b/>
        </w:rPr>
      </w:pPr>
      <w:r w:rsidRPr="002600F9">
        <w:rPr>
          <w:b/>
        </w:rPr>
        <w:t xml:space="preserve">How </w:t>
      </w:r>
      <w:r>
        <w:rPr>
          <w:b/>
        </w:rPr>
        <w:t>M</w:t>
      </w:r>
      <w:r w:rsidRPr="002600F9">
        <w:rPr>
          <w:b/>
        </w:rPr>
        <w:t xml:space="preserve">uch </w:t>
      </w:r>
      <w:r>
        <w:rPr>
          <w:b/>
        </w:rPr>
        <w:t>F</w:t>
      </w:r>
      <w:r w:rsidRPr="002600F9">
        <w:rPr>
          <w:b/>
        </w:rPr>
        <w:t xml:space="preserve">unding </w:t>
      </w:r>
      <w:r>
        <w:rPr>
          <w:b/>
        </w:rPr>
        <w:t>C</w:t>
      </w:r>
      <w:r w:rsidRPr="002600F9">
        <w:rPr>
          <w:b/>
        </w:rPr>
        <w:t xml:space="preserve">an I </w:t>
      </w:r>
      <w:r>
        <w:rPr>
          <w:b/>
        </w:rPr>
        <w:t>R</w:t>
      </w:r>
      <w:r w:rsidRPr="002600F9">
        <w:rPr>
          <w:b/>
        </w:rPr>
        <w:t>equest?</w:t>
      </w:r>
    </w:p>
    <w:p w:rsidR="008466FD" w:rsidRDefault="000C1CDE" w:rsidP="008466FD">
      <w:r>
        <w:t>While there is no minimum or maximum amount that can be requested, t</w:t>
      </w:r>
      <w:r w:rsidR="008466FD" w:rsidRPr="00B43873">
        <w:t>ypica</w:t>
      </w:r>
      <w:r w:rsidR="008466FD">
        <w:t>l</w:t>
      </w:r>
      <w:r w:rsidR="008466FD" w:rsidRPr="00B43873">
        <w:t>l</w:t>
      </w:r>
      <w:r w:rsidR="00A63779">
        <w:t>y</w:t>
      </w:r>
      <w:r w:rsidR="008466FD">
        <w:t xml:space="preserve"> </w:t>
      </w:r>
      <w:r w:rsidR="008466FD" w:rsidRPr="00B43873">
        <w:t>grants range in amount</w:t>
      </w:r>
      <w:r w:rsidR="008466FD">
        <w:t>s</w:t>
      </w:r>
      <w:r w:rsidR="008466FD" w:rsidRPr="00B43873">
        <w:t xml:space="preserve"> from $5,000 to $50,000.</w:t>
      </w:r>
      <w:r w:rsidR="008466FD">
        <w:t xml:space="preserve"> </w:t>
      </w:r>
    </w:p>
    <w:p w:rsidR="008466FD" w:rsidRPr="003E7489" w:rsidRDefault="008466FD" w:rsidP="008466FD"/>
    <w:p w:rsidR="008466FD" w:rsidRDefault="008466FD" w:rsidP="008466FD">
      <w:pPr>
        <w:rPr>
          <w:b/>
        </w:rPr>
      </w:pPr>
      <w:r w:rsidRPr="0018596D">
        <w:rPr>
          <w:b/>
        </w:rPr>
        <w:lastRenderedPageBreak/>
        <w:t xml:space="preserve">Can </w:t>
      </w:r>
      <w:r>
        <w:rPr>
          <w:b/>
        </w:rPr>
        <w:t>F</w:t>
      </w:r>
      <w:r w:rsidRPr="0018596D">
        <w:rPr>
          <w:b/>
        </w:rPr>
        <w:t xml:space="preserve">unds for </w:t>
      </w:r>
      <w:r>
        <w:rPr>
          <w:b/>
        </w:rPr>
        <w:t>E</w:t>
      </w:r>
      <w:r w:rsidRPr="0018596D">
        <w:rPr>
          <w:b/>
        </w:rPr>
        <w:t xml:space="preserve">ngineering </w:t>
      </w:r>
      <w:r>
        <w:rPr>
          <w:b/>
        </w:rPr>
        <w:t>Projects be Re</w:t>
      </w:r>
      <w:r w:rsidRPr="0018596D">
        <w:rPr>
          <w:b/>
        </w:rPr>
        <w:t>quested?</w:t>
      </w:r>
    </w:p>
    <w:p w:rsidR="008466FD" w:rsidRDefault="008466FD" w:rsidP="008466FD">
      <w:pPr>
        <w:rPr>
          <w:rStyle w:val="Hyperlink"/>
        </w:rPr>
      </w:pPr>
      <w:r>
        <w:t>No. These funds ar</w:t>
      </w:r>
      <w:r w:rsidR="00360F15">
        <w:t>e intended to address impaired driving</w:t>
      </w:r>
      <w:r>
        <w:t xml:space="preserve"> traffic safety issues, not engineering solutions. For information on engineering grants, please contact the Washington State Department of Transportation at </w:t>
      </w:r>
      <w:hyperlink r:id="rId12" w:history="1">
        <w:r w:rsidRPr="0000472E">
          <w:rPr>
            <w:rStyle w:val="Hyperlink"/>
          </w:rPr>
          <w:t>http://www.wsdot.wa.gov/</w:t>
        </w:r>
      </w:hyperlink>
      <w:r>
        <w:rPr>
          <w:rStyle w:val="Hyperlink"/>
        </w:rPr>
        <w:t>.</w:t>
      </w:r>
      <w:r w:rsidR="003F1DBB">
        <w:rPr>
          <w:rStyle w:val="Hyperlink"/>
        </w:rPr>
        <w:t xml:space="preserve"> </w:t>
      </w:r>
    </w:p>
    <w:p w:rsidR="008466FD" w:rsidRDefault="008466FD" w:rsidP="008466FD"/>
    <w:p w:rsidR="008466FD" w:rsidRPr="00787CCF" w:rsidRDefault="008466FD" w:rsidP="008466FD">
      <w:pPr>
        <w:rPr>
          <w:b/>
        </w:rPr>
      </w:pPr>
      <w:r w:rsidRPr="00787CCF">
        <w:rPr>
          <w:b/>
        </w:rPr>
        <w:t xml:space="preserve">Who </w:t>
      </w:r>
      <w:r>
        <w:rPr>
          <w:b/>
        </w:rPr>
        <w:t>C</w:t>
      </w:r>
      <w:r w:rsidRPr="00787CCF">
        <w:rPr>
          <w:b/>
        </w:rPr>
        <w:t xml:space="preserve">an I </w:t>
      </w:r>
      <w:r>
        <w:rPr>
          <w:b/>
        </w:rPr>
        <w:t>C</w:t>
      </w:r>
      <w:r w:rsidRPr="00787CCF">
        <w:rPr>
          <w:b/>
        </w:rPr>
        <w:t xml:space="preserve">ontact for </w:t>
      </w:r>
      <w:r>
        <w:rPr>
          <w:b/>
        </w:rPr>
        <w:t>M</w:t>
      </w:r>
      <w:r w:rsidRPr="00787CCF">
        <w:rPr>
          <w:b/>
        </w:rPr>
        <w:t xml:space="preserve">ore </w:t>
      </w:r>
      <w:r>
        <w:rPr>
          <w:b/>
        </w:rPr>
        <w:t>I</w:t>
      </w:r>
      <w:r w:rsidRPr="00787CCF">
        <w:rPr>
          <w:b/>
        </w:rPr>
        <w:t>nformation?</w:t>
      </w:r>
    </w:p>
    <w:p w:rsidR="008466FD" w:rsidRDefault="00EB4553" w:rsidP="008466FD">
      <w:pPr>
        <w:rPr>
          <w:b/>
        </w:rPr>
      </w:pPr>
      <w:r>
        <w:t>You may contact the WIDAC Grants C</w:t>
      </w:r>
      <w:r w:rsidR="008466FD">
        <w:t>oordina</w:t>
      </w:r>
      <w:r w:rsidR="00DC39A5">
        <w:t>tor by telephone</w:t>
      </w:r>
      <w:r w:rsidR="008466FD">
        <w:t xml:space="preserve"> or email</w:t>
      </w:r>
      <w:r w:rsidR="008466FD" w:rsidRPr="00787CCF">
        <w:t>.</w:t>
      </w:r>
      <w:r w:rsidR="003F1DBB">
        <w:t xml:space="preserve"> </w:t>
      </w:r>
      <w:r w:rsidR="008466FD" w:rsidRPr="00B43873">
        <w:t xml:space="preserve">The </w:t>
      </w:r>
      <w:r>
        <w:t>G</w:t>
      </w:r>
      <w:r w:rsidR="008466FD">
        <w:t>rants</w:t>
      </w:r>
      <w:r>
        <w:t xml:space="preserve"> C</w:t>
      </w:r>
      <w:r w:rsidR="008466FD" w:rsidRPr="00B43873">
        <w:t>oordinator for this project is</w:t>
      </w:r>
      <w:r w:rsidR="008466FD" w:rsidRPr="00B43873">
        <w:rPr>
          <w:b/>
        </w:rPr>
        <w:t>:</w:t>
      </w:r>
    </w:p>
    <w:p w:rsidR="008466FD" w:rsidRPr="00B43873" w:rsidRDefault="008466FD" w:rsidP="008466FD"/>
    <w:p w:rsidR="008466FD" w:rsidRPr="00B43873" w:rsidRDefault="00EB4553" w:rsidP="008466FD">
      <w:r>
        <w:t>Mark Medalen</w:t>
      </w:r>
    </w:p>
    <w:p w:rsidR="008466FD" w:rsidRPr="00B43873" w:rsidRDefault="00DC39A5" w:rsidP="008466FD">
      <w:pPr>
        <w:rPr>
          <w:b/>
        </w:rPr>
      </w:pPr>
      <w:r>
        <w:t>Washington Traffic Safety Commission</w:t>
      </w:r>
    </w:p>
    <w:p w:rsidR="008466FD" w:rsidRPr="00B43873" w:rsidRDefault="008466FD" w:rsidP="008466FD">
      <w:pPr>
        <w:rPr>
          <w:b/>
        </w:rPr>
      </w:pPr>
      <w:r w:rsidRPr="00B43873">
        <w:t>Telephone:</w:t>
      </w:r>
      <w:r>
        <w:t xml:space="preserve"> </w:t>
      </w:r>
      <w:r w:rsidRPr="00B43873">
        <w:t>360</w:t>
      </w:r>
      <w:r w:rsidR="00E23430">
        <w:t>-</w:t>
      </w:r>
      <w:r>
        <w:t>725-</w:t>
      </w:r>
      <w:r w:rsidR="00EB4553">
        <w:t>9878</w:t>
      </w:r>
    </w:p>
    <w:p w:rsidR="008466FD" w:rsidRPr="00B43873" w:rsidRDefault="008466FD" w:rsidP="008466FD">
      <w:r w:rsidRPr="00B43873">
        <w:t>E-mail:</w:t>
      </w:r>
      <w:r>
        <w:t xml:space="preserve"> </w:t>
      </w:r>
      <w:hyperlink r:id="rId13" w:history="1">
        <w:r w:rsidR="00EB4553" w:rsidRPr="00006684">
          <w:rPr>
            <w:rStyle w:val="Hyperlink"/>
          </w:rPr>
          <w:t>mmedalen@wtsc.wa.gov</w:t>
        </w:r>
      </w:hyperlink>
    </w:p>
    <w:p w:rsidR="008466FD" w:rsidRPr="00B43873" w:rsidRDefault="008466FD" w:rsidP="008466FD"/>
    <w:p w:rsidR="007C6E09" w:rsidRDefault="007C6E09" w:rsidP="007C6E09">
      <w:r>
        <w:rPr>
          <w:b/>
        </w:rPr>
        <w:t>What is the Deadline for Submissions?</w:t>
      </w:r>
    </w:p>
    <w:p w:rsidR="007C6E09" w:rsidRPr="00B43873" w:rsidRDefault="00DC39A5" w:rsidP="007C6E09">
      <w:r>
        <w:t>Yo</w:t>
      </w:r>
      <w:r w:rsidR="007C6E09" w:rsidRPr="00B43873">
        <w:t xml:space="preserve">ur </w:t>
      </w:r>
      <w:r>
        <w:t xml:space="preserve">electronic (emailed) </w:t>
      </w:r>
      <w:r w:rsidR="007C6E09" w:rsidRPr="00B43873">
        <w:t xml:space="preserve">proposal must </w:t>
      </w:r>
      <w:r w:rsidR="007C6E09">
        <w:t xml:space="preserve">be received by </w:t>
      </w:r>
      <w:r w:rsidR="007C6E09" w:rsidRPr="00B43873">
        <w:t>WTSC no</w:t>
      </w:r>
      <w:r w:rsidR="007C6E09">
        <w:t xml:space="preserve"> later than 5 p</w:t>
      </w:r>
      <w:r w:rsidR="00E23430">
        <w:t>.</w:t>
      </w:r>
      <w:r w:rsidR="007C6E09">
        <w:t>m</w:t>
      </w:r>
      <w:r w:rsidR="00E23430">
        <w:t xml:space="preserve">. </w:t>
      </w:r>
      <w:r w:rsidR="007C6E09" w:rsidRPr="00B43873">
        <w:t>P</w:t>
      </w:r>
      <w:r w:rsidR="00EB0F78">
        <w:t>D</w:t>
      </w:r>
      <w:r w:rsidR="007C6E09" w:rsidRPr="00B43873">
        <w:t xml:space="preserve">T, </w:t>
      </w:r>
      <w:r w:rsidR="003F1DBB">
        <w:t>October 30</w:t>
      </w:r>
      <w:r w:rsidR="007C6E09">
        <w:t>,</w:t>
      </w:r>
      <w:r w:rsidR="007C6E09" w:rsidRPr="00B43873">
        <w:t xml:space="preserve"> 201</w:t>
      </w:r>
      <w:r w:rsidR="007C6E09">
        <w:t>5</w:t>
      </w:r>
      <w:r w:rsidR="007C6E09" w:rsidRPr="00B43873">
        <w:t>.</w:t>
      </w:r>
      <w:r w:rsidR="007C6E09">
        <w:t xml:space="preserve"> </w:t>
      </w:r>
      <w:r w:rsidR="007C6E09" w:rsidRPr="00B43873">
        <w:t xml:space="preserve">Late proposals will </w:t>
      </w:r>
      <w:r w:rsidR="007C6E09">
        <w:t>not</w:t>
      </w:r>
      <w:r w:rsidR="007C6E09" w:rsidRPr="00B43873">
        <w:t xml:space="preserve"> be accepted.</w:t>
      </w:r>
      <w:r w:rsidR="007C6E09" w:rsidRPr="00827ADD">
        <w:t xml:space="preserve"> </w:t>
      </w:r>
    </w:p>
    <w:p w:rsidR="007C6E09" w:rsidRPr="00B43873" w:rsidRDefault="007C6E09" w:rsidP="007C6E09"/>
    <w:p w:rsidR="007C6E09" w:rsidRDefault="007C6E09" w:rsidP="007C6E09">
      <w:pPr>
        <w:rPr>
          <w:b/>
        </w:rPr>
      </w:pPr>
      <w:r>
        <w:rPr>
          <w:b/>
        </w:rPr>
        <w:t xml:space="preserve">How Will I </w:t>
      </w:r>
      <w:r w:rsidR="009E6381">
        <w:rPr>
          <w:b/>
        </w:rPr>
        <w:t>know</w:t>
      </w:r>
      <w:r>
        <w:rPr>
          <w:b/>
        </w:rPr>
        <w:t xml:space="preserve"> if WTSC has Received my Submission?</w:t>
      </w:r>
    </w:p>
    <w:p w:rsidR="007C6E09" w:rsidRPr="00B43873" w:rsidRDefault="00EB4553" w:rsidP="007C6E09">
      <w:r>
        <w:t>The WIDAC Grants Coordinator</w:t>
      </w:r>
      <w:r w:rsidR="007C6E09" w:rsidRPr="00B43873">
        <w:t xml:space="preserve"> will send each applicant a</w:t>
      </w:r>
      <w:r w:rsidR="007C6E09">
        <w:t xml:space="preserve">n email </w:t>
      </w:r>
      <w:r w:rsidR="007C6E09" w:rsidRPr="00B43873">
        <w:t xml:space="preserve">acknowledging receipt </w:t>
      </w:r>
      <w:r w:rsidR="007C6E09">
        <w:t xml:space="preserve">of </w:t>
      </w:r>
      <w:r>
        <w:t>the proposal</w:t>
      </w:r>
      <w:r w:rsidR="007C6E09">
        <w:t>.</w:t>
      </w:r>
      <w:r w:rsidR="003F1DBB">
        <w:t xml:space="preserve"> </w:t>
      </w:r>
      <w:r w:rsidR="007C6E09">
        <w:t>I</w:t>
      </w:r>
      <w:r w:rsidR="007C6E09" w:rsidRPr="00B43873">
        <w:t>f you</w:t>
      </w:r>
      <w:r w:rsidR="007C6E09">
        <w:t xml:space="preserve"> do not receive this notice,</w:t>
      </w:r>
      <w:r w:rsidR="007C6E09" w:rsidRPr="00B43873">
        <w:t xml:space="preserve"> </w:t>
      </w:r>
      <w:r w:rsidR="007C6E09">
        <w:t xml:space="preserve">please </w:t>
      </w:r>
      <w:r>
        <w:t>contact Mark Medalen</w:t>
      </w:r>
      <w:r w:rsidR="00C3058E">
        <w:t xml:space="preserve"> at 360-</w:t>
      </w:r>
      <w:r w:rsidR="007C6E09" w:rsidRPr="00B43873">
        <w:t>7</w:t>
      </w:r>
      <w:r w:rsidR="003F1DBB">
        <w:t>25-9878</w:t>
      </w:r>
      <w:r w:rsidR="007C6E09">
        <w:t xml:space="preserve"> </w:t>
      </w:r>
      <w:r w:rsidR="007C6E09" w:rsidRPr="00B43873">
        <w:t xml:space="preserve">to confirm that your proposal </w:t>
      </w:r>
      <w:r w:rsidR="007C6E09">
        <w:t>was received.</w:t>
      </w:r>
      <w:r w:rsidR="003F1DBB">
        <w:t xml:space="preserve"> </w:t>
      </w:r>
    </w:p>
    <w:p w:rsidR="007C6E09" w:rsidRDefault="007C6E09" w:rsidP="008466FD">
      <w:pPr>
        <w:rPr>
          <w:b/>
        </w:rPr>
      </w:pPr>
    </w:p>
    <w:p w:rsidR="008466FD" w:rsidRPr="00787CCF" w:rsidRDefault="008466FD" w:rsidP="008466FD">
      <w:pPr>
        <w:rPr>
          <w:b/>
        </w:rPr>
      </w:pPr>
      <w:r w:rsidRPr="00787CCF">
        <w:rPr>
          <w:b/>
        </w:rPr>
        <w:t xml:space="preserve">How </w:t>
      </w:r>
      <w:r>
        <w:rPr>
          <w:b/>
        </w:rPr>
        <w:t>D</w:t>
      </w:r>
      <w:r w:rsidRPr="00787CCF">
        <w:rPr>
          <w:b/>
        </w:rPr>
        <w:t xml:space="preserve">o I </w:t>
      </w:r>
      <w:r>
        <w:rPr>
          <w:b/>
        </w:rPr>
        <w:t>S</w:t>
      </w:r>
      <w:r w:rsidRPr="00787CCF">
        <w:rPr>
          <w:b/>
        </w:rPr>
        <w:t xml:space="preserve">ubmit </w:t>
      </w:r>
      <w:r>
        <w:rPr>
          <w:b/>
        </w:rPr>
        <w:t>M</w:t>
      </w:r>
      <w:r w:rsidRPr="00787CCF">
        <w:rPr>
          <w:b/>
        </w:rPr>
        <w:t xml:space="preserve">y </w:t>
      </w:r>
      <w:r>
        <w:rPr>
          <w:b/>
        </w:rPr>
        <w:t>P</w:t>
      </w:r>
      <w:r w:rsidRPr="00787CCF">
        <w:rPr>
          <w:b/>
        </w:rPr>
        <w:t>roposal?</w:t>
      </w:r>
    </w:p>
    <w:p w:rsidR="008466FD" w:rsidRDefault="008466FD" w:rsidP="008466FD">
      <w:r>
        <w:t>You must submit an electronic copy of your proposal to WTSC.</w:t>
      </w:r>
      <w:r w:rsidR="003F1DBB">
        <w:t xml:space="preserve"> </w:t>
      </w:r>
    </w:p>
    <w:p w:rsidR="008466FD" w:rsidRDefault="008466FD" w:rsidP="008466FD"/>
    <w:p w:rsidR="008466FD" w:rsidRPr="00DC39A5" w:rsidRDefault="008466FD" w:rsidP="008466FD">
      <w:pPr>
        <w:pStyle w:val="ListParagraph"/>
        <w:numPr>
          <w:ilvl w:val="0"/>
          <w:numId w:val="4"/>
        </w:numPr>
        <w:rPr>
          <w:rStyle w:val="Hyperlink"/>
          <w:color w:val="auto"/>
          <w:u w:val="none"/>
        </w:rPr>
      </w:pPr>
      <w:r w:rsidRPr="0001174E">
        <w:rPr>
          <w:b/>
        </w:rPr>
        <w:t>Email:</w:t>
      </w:r>
      <w:r w:rsidR="00DC39A5">
        <w:t xml:space="preserve"> </w:t>
      </w:r>
      <w:r>
        <w:t>Send your emai</w:t>
      </w:r>
      <w:r w:rsidR="00EB4553">
        <w:t>led submission to Mark Medalen</w:t>
      </w:r>
      <w:r>
        <w:t xml:space="preserve"> at </w:t>
      </w:r>
      <w:hyperlink r:id="rId14" w:history="1">
        <w:r w:rsidR="00EB4553" w:rsidRPr="00006684">
          <w:rPr>
            <w:rStyle w:val="Hyperlink"/>
          </w:rPr>
          <w:t>mmedalen@wtsc.wa.gov</w:t>
        </w:r>
      </w:hyperlink>
      <w:r>
        <w:rPr>
          <w:rStyle w:val="Hyperlink"/>
        </w:rPr>
        <w:t>.</w:t>
      </w:r>
    </w:p>
    <w:p w:rsidR="00DC39A5" w:rsidRDefault="00DC39A5" w:rsidP="00DC39A5"/>
    <w:p w:rsidR="008466FD" w:rsidRDefault="008466FD" w:rsidP="008466FD"/>
    <w:p w:rsidR="008466FD" w:rsidRDefault="008466FD" w:rsidP="008466FD">
      <w:pPr>
        <w:rPr>
          <w:b/>
        </w:rPr>
      </w:pPr>
      <w:r>
        <w:rPr>
          <w:b/>
        </w:rPr>
        <w:t>Should I Submit Any Documents in Addition to My Project Proposal?</w:t>
      </w:r>
    </w:p>
    <w:p w:rsidR="008466FD" w:rsidRDefault="00EB4553" w:rsidP="003707B5">
      <w:r>
        <w:t>While WIDAC members</w:t>
      </w:r>
      <w:r w:rsidR="008466FD">
        <w:t xml:space="preserve"> may request additional information during the proposal review period, in most cases you will not need to submit additional documents with your initial proposal.</w:t>
      </w:r>
      <w:r w:rsidR="003707B5">
        <w:t xml:space="preserve"> </w:t>
      </w:r>
      <w:r w:rsidR="008466FD">
        <w:t>O</w:t>
      </w:r>
      <w:r w:rsidR="008466FD" w:rsidRPr="00513556">
        <w:t>rganizations claiming non-profit or Not</w:t>
      </w:r>
      <w:r w:rsidR="008466FD">
        <w:t>-</w:t>
      </w:r>
      <w:r w:rsidR="008466FD" w:rsidRPr="00513556">
        <w:t>for</w:t>
      </w:r>
      <w:r w:rsidR="008466FD">
        <w:t>-</w:t>
      </w:r>
      <w:r w:rsidR="008466FD" w:rsidRPr="00513556">
        <w:t xml:space="preserve">Profit status must submit with their proposal a letter </w:t>
      </w:r>
      <w:r w:rsidR="008466FD">
        <w:t>document</w:t>
      </w:r>
      <w:r w:rsidR="008466FD" w:rsidRPr="00513556">
        <w:t xml:space="preserve">ing current </w:t>
      </w:r>
      <w:r w:rsidR="008466FD">
        <w:t>501(c)(3) designation.</w:t>
      </w:r>
    </w:p>
    <w:p w:rsidR="008466FD" w:rsidRDefault="008466FD" w:rsidP="008466FD">
      <w:pPr>
        <w:rPr>
          <w:b/>
        </w:rPr>
      </w:pPr>
    </w:p>
    <w:p w:rsidR="008466FD" w:rsidRDefault="008466FD" w:rsidP="008466FD">
      <w:pPr>
        <w:rPr>
          <w:b/>
        </w:rPr>
      </w:pPr>
      <w:r>
        <w:rPr>
          <w:b/>
        </w:rPr>
        <w:t>Will My Proposal be Kept Confidential?</w:t>
      </w:r>
    </w:p>
    <w:p w:rsidR="008466FD" w:rsidRDefault="008466FD" w:rsidP="008466FD">
      <w:pPr>
        <w:rPr>
          <w:b/>
        </w:rPr>
      </w:pPr>
      <w:r w:rsidRPr="0097635D">
        <w:t xml:space="preserve">All proposals </w:t>
      </w:r>
      <w:r w:rsidR="00EB4553">
        <w:t>received by WIDAC</w:t>
      </w:r>
      <w:r w:rsidRPr="0097635D">
        <w:t xml:space="preserve"> </w:t>
      </w:r>
      <w:r>
        <w:t>are subject to</w:t>
      </w:r>
      <w:r w:rsidRPr="0097635D">
        <w:t xml:space="preserve"> </w:t>
      </w:r>
      <w:r>
        <w:t xml:space="preserve">the “Public Records Act,” RCW 42.56. </w:t>
      </w:r>
      <w:r w:rsidRPr="0097635D">
        <w:t xml:space="preserve">Any information in </w:t>
      </w:r>
      <w:r>
        <w:t>your proposal claimed</w:t>
      </w:r>
      <w:r w:rsidRPr="0097635D">
        <w:t xml:space="preserve"> as proprietary and exempt from </w:t>
      </w:r>
      <w:r>
        <w:t>disclosure</w:t>
      </w:r>
      <w:r w:rsidRPr="0097635D">
        <w:t xml:space="preserve"> must be clearly designated.</w:t>
      </w:r>
      <w:r>
        <w:t xml:space="preserve"> The specific exemption </w:t>
      </w:r>
      <w:r w:rsidRPr="0097635D">
        <w:t>must be clearly identified by the word “C</w:t>
      </w:r>
      <w:r>
        <w:t>ONFIDENTIAL</w:t>
      </w:r>
      <w:r w:rsidRPr="0097635D">
        <w:t xml:space="preserve">” printed below the paragraph. The entire proposal </w:t>
      </w:r>
      <w:r>
        <w:t>may not</w:t>
      </w:r>
      <w:r w:rsidRPr="0097635D">
        <w:t xml:space="preserve"> be marked as exempt from disclosure.</w:t>
      </w:r>
    </w:p>
    <w:p w:rsidR="008466FD" w:rsidRDefault="008466FD" w:rsidP="008466FD">
      <w:pPr>
        <w:rPr>
          <w:b/>
        </w:rPr>
      </w:pPr>
    </w:p>
    <w:p w:rsidR="008466FD" w:rsidRDefault="008466FD" w:rsidP="008466FD">
      <w:pPr>
        <w:rPr>
          <w:b/>
        </w:rPr>
      </w:pPr>
      <w:r>
        <w:rPr>
          <w:b/>
        </w:rPr>
        <w:t>How Will I Know if I am Awarded a Grant?</w:t>
      </w:r>
    </w:p>
    <w:p w:rsidR="008466FD" w:rsidRDefault="00EB4553" w:rsidP="008466FD">
      <w:r>
        <w:t>The WIDAC Grants Coordinator</w:t>
      </w:r>
      <w:r w:rsidR="008466FD">
        <w:t xml:space="preserve"> will contact you </w:t>
      </w:r>
      <w:r w:rsidR="003F1DBB">
        <w:t xml:space="preserve">by </w:t>
      </w:r>
      <w:r>
        <w:t>February 15</w:t>
      </w:r>
      <w:r w:rsidR="008466FD">
        <w:t xml:space="preserve">, </w:t>
      </w:r>
      <w:r>
        <w:t>2016</w:t>
      </w:r>
      <w:r w:rsidR="00C3058E">
        <w:t>,</w:t>
      </w:r>
      <w:r>
        <w:t xml:space="preserve"> </w:t>
      </w:r>
      <w:r w:rsidR="008466FD">
        <w:t>to inform you of the outcome of the review and scoring process.</w:t>
      </w:r>
      <w:r w:rsidR="003F1DBB">
        <w:t xml:space="preserve"> </w:t>
      </w:r>
    </w:p>
    <w:p w:rsidR="008466FD" w:rsidRDefault="008466FD" w:rsidP="008466FD"/>
    <w:p w:rsidR="008466FD" w:rsidRPr="00094895" w:rsidRDefault="008466FD" w:rsidP="008466FD">
      <w:pPr>
        <w:rPr>
          <w:b/>
        </w:rPr>
      </w:pPr>
      <w:r w:rsidRPr="00094895">
        <w:rPr>
          <w:b/>
        </w:rPr>
        <w:t xml:space="preserve">What is the </w:t>
      </w:r>
      <w:r>
        <w:rPr>
          <w:b/>
        </w:rPr>
        <w:t>P</w:t>
      </w:r>
      <w:r w:rsidRPr="00094895">
        <w:rPr>
          <w:b/>
        </w:rPr>
        <w:t xml:space="preserve">rocess if I am </w:t>
      </w:r>
      <w:r>
        <w:rPr>
          <w:b/>
        </w:rPr>
        <w:t>A</w:t>
      </w:r>
      <w:r w:rsidRPr="00094895">
        <w:rPr>
          <w:b/>
        </w:rPr>
        <w:t xml:space="preserve">warded a </w:t>
      </w:r>
      <w:r>
        <w:rPr>
          <w:b/>
        </w:rPr>
        <w:t>G</w:t>
      </w:r>
      <w:r w:rsidRPr="00094895">
        <w:rPr>
          <w:b/>
        </w:rPr>
        <w:t>rant?</w:t>
      </w:r>
    </w:p>
    <w:p w:rsidR="008466FD" w:rsidRPr="0088578A" w:rsidRDefault="008466FD" w:rsidP="008466FD">
      <w:r>
        <w:t>Once you have been notified of an impending grant award, the Interagency Agreement negoti</w:t>
      </w:r>
      <w:r w:rsidR="00EB4553">
        <w:t>ation period begins.</w:t>
      </w:r>
      <w:r w:rsidR="003F1DBB">
        <w:t xml:space="preserve"> </w:t>
      </w:r>
      <w:r w:rsidR="00EB4553">
        <w:t>The Grants Coordinator</w:t>
      </w:r>
      <w:r>
        <w:t xml:space="preserve"> will provide you with a draft Interagency Agreement incorporating many of the elements of your original proposal.</w:t>
      </w:r>
      <w:r w:rsidR="003F1DBB">
        <w:t xml:space="preserve"> </w:t>
      </w:r>
      <w:r>
        <w:t>Once agreement is reached on the specific terms of the Interagency Agreement including the statement of work, budget line items, and other negotiable terms, your authorizing official will sign two originals of the Interagency Agreement.</w:t>
      </w:r>
      <w:r w:rsidR="003F1DBB">
        <w:t xml:space="preserve"> </w:t>
      </w:r>
      <w:r>
        <w:t xml:space="preserve">Once these signed originals are received by </w:t>
      </w:r>
      <w:r w:rsidR="00C3058E">
        <w:t xml:space="preserve">the </w:t>
      </w:r>
      <w:r>
        <w:t xml:space="preserve">WTSC, the </w:t>
      </w:r>
      <w:r w:rsidR="00C3058E">
        <w:t xml:space="preserve">agency </w:t>
      </w:r>
      <w:r>
        <w:t>Director or Deputy Director will sign both originals and return one of the originals for your records.</w:t>
      </w:r>
      <w:r w:rsidR="003F1DBB">
        <w:t xml:space="preserve">  </w:t>
      </w:r>
    </w:p>
    <w:p w:rsidR="008466FD" w:rsidRDefault="008466FD" w:rsidP="008466FD">
      <w:pPr>
        <w:rPr>
          <w:b/>
        </w:rPr>
      </w:pPr>
    </w:p>
    <w:p w:rsidR="008466FD" w:rsidRPr="00787CCF" w:rsidRDefault="008466FD" w:rsidP="008466FD">
      <w:pPr>
        <w:rPr>
          <w:b/>
        </w:rPr>
      </w:pPr>
      <w:r w:rsidRPr="00787CCF">
        <w:rPr>
          <w:b/>
        </w:rPr>
        <w:t xml:space="preserve">What is the </w:t>
      </w:r>
      <w:r>
        <w:rPr>
          <w:b/>
        </w:rPr>
        <w:t>Period of P</w:t>
      </w:r>
      <w:r w:rsidRPr="00787CCF">
        <w:rPr>
          <w:b/>
        </w:rPr>
        <w:t>erformance?</w:t>
      </w:r>
    </w:p>
    <w:p w:rsidR="008466FD" w:rsidRDefault="008466FD" w:rsidP="008466FD">
      <w:r>
        <w:t>The period o</w:t>
      </w:r>
      <w:r w:rsidR="00EB4553">
        <w:t xml:space="preserve">f performance is </w:t>
      </w:r>
      <w:r w:rsidR="003F1DBB">
        <w:t xml:space="preserve">on or around </w:t>
      </w:r>
      <w:r w:rsidR="00EB4553">
        <w:t>February 1</w:t>
      </w:r>
      <w:r w:rsidR="003F1DBB">
        <w:t>5</w:t>
      </w:r>
      <w:r w:rsidR="00EB4553">
        <w:t>, 2016, through June 30, 2017</w:t>
      </w:r>
      <w:r>
        <w:t>.</w:t>
      </w:r>
      <w:r w:rsidR="003F1DBB">
        <w:t xml:space="preserve"> </w:t>
      </w:r>
      <w:r>
        <w:t xml:space="preserve">Award recipients may only incur expenditures </w:t>
      </w:r>
      <w:r w:rsidR="00EB4553">
        <w:t xml:space="preserve">after the start date and </w:t>
      </w:r>
      <w:r>
        <w:t>once an Interagency Agreement has been signed by your organization and the WTSC.</w:t>
      </w:r>
      <w:r w:rsidR="003F1DBB">
        <w:t xml:space="preserve"> </w:t>
      </w:r>
      <w:r>
        <w:t>Extensions of</w:t>
      </w:r>
      <w:r w:rsidRPr="00B43873">
        <w:t xml:space="preserve"> the period of performance are not permitted.</w:t>
      </w:r>
      <w:r>
        <w:t xml:space="preserve"> </w:t>
      </w:r>
      <w:r w:rsidRPr="00B43873">
        <w:t>WTSC will not reimburse any costs incurred on a project agreement prior to or after the period of performance.</w:t>
      </w:r>
    </w:p>
    <w:p w:rsidR="008466FD" w:rsidRPr="00B43873" w:rsidRDefault="008466FD" w:rsidP="008466FD"/>
    <w:p w:rsidR="008466FD" w:rsidRPr="0001174E" w:rsidRDefault="008466FD" w:rsidP="008466FD">
      <w:pPr>
        <w:rPr>
          <w:b/>
        </w:rPr>
      </w:pPr>
      <w:r>
        <w:rPr>
          <w:b/>
        </w:rPr>
        <w:t>Can I R</w:t>
      </w:r>
      <w:r w:rsidRPr="0001174E">
        <w:rPr>
          <w:b/>
        </w:rPr>
        <w:t xml:space="preserve">eceive </w:t>
      </w:r>
      <w:r>
        <w:rPr>
          <w:b/>
        </w:rPr>
        <w:t>T</w:t>
      </w:r>
      <w:r w:rsidRPr="0001174E">
        <w:rPr>
          <w:b/>
        </w:rPr>
        <w:t xml:space="preserve">his </w:t>
      </w:r>
      <w:r>
        <w:rPr>
          <w:b/>
        </w:rPr>
        <w:t>Document</w:t>
      </w:r>
      <w:r w:rsidRPr="0001174E">
        <w:rPr>
          <w:b/>
        </w:rPr>
        <w:t xml:space="preserve"> in an </w:t>
      </w:r>
      <w:r>
        <w:rPr>
          <w:b/>
        </w:rPr>
        <w:t>A</w:t>
      </w:r>
      <w:r w:rsidRPr="0001174E">
        <w:rPr>
          <w:b/>
        </w:rPr>
        <w:t xml:space="preserve">lternative </w:t>
      </w:r>
      <w:r>
        <w:rPr>
          <w:b/>
        </w:rPr>
        <w:t>F</w:t>
      </w:r>
      <w:r w:rsidRPr="0001174E">
        <w:rPr>
          <w:b/>
        </w:rPr>
        <w:t>ormat?</w:t>
      </w:r>
    </w:p>
    <w:p w:rsidR="0049055D" w:rsidRDefault="003F1DBB" w:rsidP="008466FD">
      <w:r>
        <w:t>WIDAC</w:t>
      </w:r>
      <w:r w:rsidR="008466FD" w:rsidRPr="00B43873">
        <w:t xml:space="preserve"> will make this </w:t>
      </w:r>
      <w:r w:rsidR="008466FD">
        <w:t>document</w:t>
      </w:r>
      <w:r w:rsidR="008466FD" w:rsidRPr="00B43873">
        <w:t xml:space="preserve"> available in</w:t>
      </w:r>
      <w:r w:rsidR="008466FD">
        <w:t xml:space="preserve"> an alternate format upon request.</w:t>
      </w:r>
    </w:p>
    <w:sectPr w:rsidR="0049055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D3" w:rsidRDefault="00B67DD3" w:rsidP="00C3058E">
      <w:r>
        <w:separator/>
      </w:r>
    </w:p>
  </w:endnote>
  <w:endnote w:type="continuationSeparator" w:id="0">
    <w:p w:rsidR="00B67DD3" w:rsidRDefault="00B67DD3" w:rsidP="00C3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417488"/>
      <w:docPartObj>
        <w:docPartGallery w:val="Page Numbers (Bottom of Page)"/>
        <w:docPartUnique/>
      </w:docPartObj>
    </w:sdtPr>
    <w:sdtEndPr>
      <w:rPr>
        <w:noProof/>
      </w:rPr>
    </w:sdtEndPr>
    <w:sdtContent>
      <w:p w:rsidR="00B67DD3" w:rsidRDefault="00B67DD3">
        <w:pPr>
          <w:pStyle w:val="Footer"/>
          <w:jc w:val="center"/>
        </w:pPr>
        <w:r>
          <w:fldChar w:fldCharType="begin"/>
        </w:r>
        <w:r>
          <w:instrText xml:space="preserve"> PAGE   \* MERGEFORMAT </w:instrText>
        </w:r>
        <w:r>
          <w:fldChar w:fldCharType="separate"/>
        </w:r>
        <w:r w:rsidR="00943A0A">
          <w:rPr>
            <w:noProof/>
          </w:rPr>
          <w:t>2</w:t>
        </w:r>
        <w:r>
          <w:rPr>
            <w:noProof/>
          </w:rPr>
          <w:fldChar w:fldCharType="end"/>
        </w:r>
      </w:p>
    </w:sdtContent>
  </w:sdt>
  <w:p w:rsidR="00B67DD3" w:rsidRDefault="00B67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D3" w:rsidRDefault="00B67DD3" w:rsidP="00C3058E">
      <w:r>
        <w:separator/>
      </w:r>
    </w:p>
  </w:footnote>
  <w:footnote w:type="continuationSeparator" w:id="0">
    <w:p w:rsidR="00B67DD3" w:rsidRDefault="00B67DD3" w:rsidP="00C30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176"/>
    <w:multiLevelType w:val="hybridMultilevel"/>
    <w:tmpl w:val="D620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73F94"/>
    <w:multiLevelType w:val="hybridMultilevel"/>
    <w:tmpl w:val="7AD25660"/>
    <w:lvl w:ilvl="0" w:tplc="0409000F">
      <w:start w:val="1"/>
      <w:numFmt w:val="decimal"/>
      <w:lvlText w:val="%1."/>
      <w:lvlJc w:val="left"/>
      <w:pPr>
        <w:ind w:left="720" w:hanging="360"/>
      </w:pPr>
    </w:lvl>
    <w:lvl w:ilvl="1" w:tplc="0FF44EF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50F5B"/>
    <w:multiLevelType w:val="hybridMultilevel"/>
    <w:tmpl w:val="B1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00C3F"/>
    <w:multiLevelType w:val="hybridMultilevel"/>
    <w:tmpl w:val="8C6A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C7915"/>
    <w:multiLevelType w:val="hybridMultilevel"/>
    <w:tmpl w:val="0FE8A1BA"/>
    <w:lvl w:ilvl="0" w:tplc="0B66A09C">
      <w:start w:val="1"/>
      <w:numFmt w:val="bullet"/>
      <w:lvlText w:val=""/>
      <w:lvlJc w:val="left"/>
      <w:pPr>
        <w:tabs>
          <w:tab w:val="num" w:pos="720"/>
        </w:tabs>
        <w:ind w:left="720" w:hanging="360"/>
      </w:pPr>
      <w:rPr>
        <w:rFonts w:ascii="Symbol" w:hAnsi="Symbol" w:hint="default"/>
      </w:rPr>
    </w:lvl>
    <w:lvl w:ilvl="1" w:tplc="2B14EFC2" w:tentative="1">
      <w:start w:val="1"/>
      <w:numFmt w:val="bullet"/>
      <w:lvlText w:val="o"/>
      <w:lvlJc w:val="left"/>
      <w:pPr>
        <w:tabs>
          <w:tab w:val="num" w:pos="1440"/>
        </w:tabs>
        <w:ind w:left="1440" w:hanging="360"/>
      </w:pPr>
      <w:rPr>
        <w:rFonts w:ascii="Courier New" w:hAnsi="Courier New" w:hint="default"/>
      </w:rPr>
    </w:lvl>
    <w:lvl w:ilvl="2" w:tplc="A03EF052" w:tentative="1">
      <w:start w:val="1"/>
      <w:numFmt w:val="bullet"/>
      <w:lvlText w:val=""/>
      <w:lvlJc w:val="left"/>
      <w:pPr>
        <w:tabs>
          <w:tab w:val="num" w:pos="2160"/>
        </w:tabs>
        <w:ind w:left="2160" w:hanging="360"/>
      </w:pPr>
      <w:rPr>
        <w:rFonts w:ascii="Wingdings" w:hAnsi="Wingdings" w:hint="default"/>
      </w:rPr>
    </w:lvl>
    <w:lvl w:ilvl="3" w:tplc="01DEF5B4" w:tentative="1">
      <w:start w:val="1"/>
      <w:numFmt w:val="bullet"/>
      <w:lvlText w:val=""/>
      <w:lvlJc w:val="left"/>
      <w:pPr>
        <w:tabs>
          <w:tab w:val="num" w:pos="2880"/>
        </w:tabs>
        <w:ind w:left="2880" w:hanging="360"/>
      </w:pPr>
      <w:rPr>
        <w:rFonts w:ascii="Symbol" w:hAnsi="Symbol" w:hint="default"/>
      </w:rPr>
    </w:lvl>
    <w:lvl w:ilvl="4" w:tplc="8C38C98C" w:tentative="1">
      <w:start w:val="1"/>
      <w:numFmt w:val="bullet"/>
      <w:lvlText w:val="o"/>
      <w:lvlJc w:val="left"/>
      <w:pPr>
        <w:tabs>
          <w:tab w:val="num" w:pos="3600"/>
        </w:tabs>
        <w:ind w:left="3600" w:hanging="360"/>
      </w:pPr>
      <w:rPr>
        <w:rFonts w:ascii="Courier New" w:hAnsi="Courier New" w:hint="default"/>
      </w:rPr>
    </w:lvl>
    <w:lvl w:ilvl="5" w:tplc="A938546E" w:tentative="1">
      <w:start w:val="1"/>
      <w:numFmt w:val="bullet"/>
      <w:lvlText w:val=""/>
      <w:lvlJc w:val="left"/>
      <w:pPr>
        <w:tabs>
          <w:tab w:val="num" w:pos="4320"/>
        </w:tabs>
        <w:ind w:left="4320" w:hanging="360"/>
      </w:pPr>
      <w:rPr>
        <w:rFonts w:ascii="Wingdings" w:hAnsi="Wingdings" w:hint="default"/>
      </w:rPr>
    </w:lvl>
    <w:lvl w:ilvl="6" w:tplc="936E8358" w:tentative="1">
      <w:start w:val="1"/>
      <w:numFmt w:val="bullet"/>
      <w:lvlText w:val=""/>
      <w:lvlJc w:val="left"/>
      <w:pPr>
        <w:tabs>
          <w:tab w:val="num" w:pos="5040"/>
        </w:tabs>
        <w:ind w:left="5040" w:hanging="360"/>
      </w:pPr>
      <w:rPr>
        <w:rFonts w:ascii="Symbol" w:hAnsi="Symbol" w:hint="default"/>
      </w:rPr>
    </w:lvl>
    <w:lvl w:ilvl="7" w:tplc="34D67246" w:tentative="1">
      <w:start w:val="1"/>
      <w:numFmt w:val="bullet"/>
      <w:lvlText w:val="o"/>
      <w:lvlJc w:val="left"/>
      <w:pPr>
        <w:tabs>
          <w:tab w:val="num" w:pos="5760"/>
        </w:tabs>
        <w:ind w:left="5760" w:hanging="360"/>
      </w:pPr>
      <w:rPr>
        <w:rFonts w:ascii="Courier New" w:hAnsi="Courier New" w:hint="default"/>
      </w:rPr>
    </w:lvl>
    <w:lvl w:ilvl="8" w:tplc="43CE9E1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96"/>
    <w:rsid w:val="00061C4A"/>
    <w:rsid w:val="000B4067"/>
    <w:rsid w:val="000C1CDE"/>
    <w:rsid w:val="00114A5B"/>
    <w:rsid w:val="00231859"/>
    <w:rsid w:val="00327DCB"/>
    <w:rsid w:val="00360F15"/>
    <w:rsid w:val="003707B5"/>
    <w:rsid w:val="003A4B96"/>
    <w:rsid w:val="003C2368"/>
    <w:rsid w:val="003F1DBB"/>
    <w:rsid w:val="0049055D"/>
    <w:rsid w:val="00517E89"/>
    <w:rsid w:val="006A234E"/>
    <w:rsid w:val="0076232E"/>
    <w:rsid w:val="007C6E09"/>
    <w:rsid w:val="007F3350"/>
    <w:rsid w:val="008466FD"/>
    <w:rsid w:val="00943A0A"/>
    <w:rsid w:val="009E6381"/>
    <w:rsid w:val="00A63779"/>
    <w:rsid w:val="00AE546F"/>
    <w:rsid w:val="00B42121"/>
    <w:rsid w:val="00B67DD3"/>
    <w:rsid w:val="00C06408"/>
    <w:rsid w:val="00C17F66"/>
    <w:rsid w:val="00C3058E"/>
    <w:rsid w:val="00CC2B6B"/>
    <w:rsid w:val="00D91726"/>
    <w:rsid w:val="00DA12E3"/>
    <w:rsid w:val="00DC39A5"/>
    <w:rsid w:val="00E11D7D"/>
    <w:rsid w:val="00E23430"/>
    <w:rsid w:val="00E33120"/>
    <w:rsid w:val="00EB0F78"/>
    <w:rsid w:val="00EB4553"/>
    <w:rsid w:val="00F9495C"/>
    <w:rsid w:val="00FC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9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A4B96"/>
    <w:pPr>
      <w:tabs>
        <w:tab w:val="left" w:pos="-720"/>
        <w:tab w:val="left" w:pos="360"/>
        <w:tab w:val="left" w:pos="720"/>
        <w:tab w:val="left" w:pos="1080"/>
        <w:tab w:val="left" w:pos="1440"/>
        <w:tab w:val="left" w:pos="1800"/>
        <w:tab w:val="left" w:pos="2160"/>
        <w:tab w:val="left" w:pos="2520"/>
        <w:tab w:val="left" w:pos="2880"/>
      </w:tabs>
      <w:jc w:val="both"/>
    </w:pPr>
  </w:style>
  <w:style w:type="character" w:customStyle="1" w:styleId="BodyText2Char">
    <w:name w:val="Body Text 2 Char"/>
    <w:basedOn w:val="DefaultParagraphFont"/>
    <w:link w:val="BodyText2"/>
    <w:rsid w:val="003A4B96"/>
    <w:rPr>
      <w:rFonts w:ascii="Arial" w:eastAsia="Times New Roman" w:hAnsi="Arial" w:cs="Arial"/>
    </w:rPr>
  </w:style>
  <w:style w:type="character" w:styleId="Hyperlink">
    <w:name w:val="Hyperlink"/>
    <w:rsid w:val="003A4B96"/>
    <w:rPr>
      <w:color w:val="0000FF"/>
      <w:u w:val="single"/>
    </w:rPr>
  </w:style>
  <w:style w:type="table" w:styleId="TableGrid">
    <w:name w:val="Table Grid"/>
    <w:basedOn w:val="TableNormal"/>
    <w:rsid w:val="003A4B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B96"/>
    <w:pPr>
      <w:ind w:left="720"/>
      <w:contextualSpacing/>
    </w:pPr>
  </w:style>
  <w:style w:type="character" w:styleId="CommentReference">
    <w:name w:val="annotation reference"/>
    <w:basedOn w:val="DefaultParagraphFont"/>
    <w:rsid w:val="008466FD"/>
    <w:rPr>
      <w:sz w:val="16"/>
      <w:szCs w:val="16"/>
    </w:rPr>
  </w:style>
  <w:style w:type="paragraph" w:styleId="CommentText">
    <w:name w:val="annotation text"/>
    <w:basedOn w:val="Normal"/>
    <w:link w:val="CommentTextChar"/>
    <w:rsid w:val="008466FD"/>
    <w:rPr>
      <w:sz w:val="20"/>
      <w:szCs w:val="20"/>
    </w:rPr>
  </w:style>
  <w:style w:type="character" w:customStyle="1" w:styleId="CommentTextChar">
    <w:name w:val="Comment Text Char"/>
    <w:basedOn w:val="DefaultParagraphFont"/>
    <w:link w:val="CommentText"/>
    <w:rsid w:val="008466FD"/>
    <w:rPr>
      <w:rFonts w:ascii="Arial" w:eastAsia="Times New Roman" w:hAnsi="Arial" w:cs="Arial"/>
      <w:sz w:val="20"/>
      <w:szCs w:val="20"/>
    </w:rPr>
  </w:style>
  <w:style w:type="paragraph" w:styleId="BalloonText">
    <w:name w:val="Balloon Text"/>
    <w:basedOn w:val="Normal"/>
    <w:link w:val="BalloonTextChar"/>
    <w:uiPriority w:val="99"/>
    <w:semiHidden/>
    <w:unhideWhenUsed/>
    <w:rsid w:val="008466FD"/>
    <w:rPr>
      <w:rFonts w:ascii="Tahoma" w:hAnsi="Tahoma" w:cs="Tahoma"/>
      <w:sz w:val="16"/>
      <w:szCs w:val="16"/>
    </w:rPr>
  </w:style>
  <w:style w:type="character" w:customStyle="1" w:styleId="BalloonTextChar">
    <w:name w:val="Balloon Text Char"/>
    <w:basedOn w:val="DefaultParagraphFont"/>
    <w:link w:val="BalloonText"/>
    <w:uiPriority w:val="99"/>
    <w:semiHidden/>
    <w:rsid w:val="008466F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06408"/>
    <w:rPr>
      <w:b/>
      <w:bCs/>
    </w:rPr>
  </w:style>
  <w:style w:type="character" w:customStyle="1" w:styleId="CommentSubjectChar">
    <w:name w:val="Comment Subject Char"/>
    <w:basedOn w:val="CommentTextChar"/>
    <w:link w:val="CommentSubject"/>
    <w:uiPriority w:val="99"/>
    <w:semiHidden/>
    <w:rsid w:val="00C06408"/>
    <w:rPr>
      <w:rFonts w:ascii="Arial" w:eastAsia="Times New Roman" w:hAnsi="Arial" w:cs="Arial"/>
      <w:b/>
      <w:bCs/>
      <w:sz w:val="20"/>
      <w:szCs w:val="20"/>
    </w:rPr>
  </w:style>
  <w:style w:type="paragraph" w:styleId="Header">
    <w:name w:val="header"/>
    <w:basedOn w:val="Normal"/>
    <w:link w:val="HeaderChar"/>
    <w:uiPriority w:val="99"/>
    <w:unhideWhenUsed/>
    <w:rsid w:val="00C3058E"/>
    <w:pPr>
      <w:tabs>
        <w:tab w:val="center" w:pos="4680"/>
        <w:tab w:val="right" w:pos="9360"/>
      </w:tabs>
    </w:pPr>
  </w:style>
  <w:style w:type="character" w:customStyle="1" w:styleId="HeaderChar">
    <w:name w:val="Header Char"/>
    <w:basedOn w:val="DefaultParagraphFont"/>
    <w:link w:val="Header"/>
    <w:uiPriority w:val="99"/>
    <w:rsid w:val="00C3058E"/>
    <w:rPr>
      <w:rFonts w:ascii="Arial" w:eastAsia="Times New Roman" w:hAnsi="Arial" w:cs="Arial"/>
    </w:rPr>
  </w:style>
  <w:style w:type="paragraph" w:styleId="Footer">
    <w:name w:val="footer"/>
    <w:basedOn w:val="Normal"/>
    <w:link w:val="FooterChar"/>
    <w:uiPriority w:val="99"/>
    <w:unhideWhenUsed/>
    <w:rsid w:val="00C3058E"/>
    <w:pPr>
      <w:tabs>
        <w:tab w:val="center" w:pos="4680"/>
        <w:tab w:val="right" w:pos="9360"/>
      </w:tabs>
    </w:pPr>
  </w:style>
  <w:style w:type="character" w:customStyle="1" w:styleId="FooterChar">
    <w:name w:val="Footer Char"/>
    <w:basedOn w:val="DefaultParagraphFont"/>
    <w:link w:val="Footer"/>
    <w:uiPriority w:val="99"/>
    <w:rsid w:val="00C3058E"/>
    <w:rPr>
      <w:rFonts w:ascii="Arial" w:eastAsia="Times New Roman" w:hAnsi="Arial" w:cs="Arial"/>
    </w:rPr>
  </w:style>
  <w:style w:type="character" w:styleId="FollowedHyperlink">
    <w:name w:val="FollowedHyperlink"/>
    <w:basedOn w:val="DefaultParagraphFont"/>
    <w:uiPriority w:val="99"/>
    <w:semiHidden/>
    <w:unhideWhenUsed/>
    <w:rsid w:val="00B67D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9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A4B96"/>
    <w:pPr>
      <w:tabs>
        <w:tab w:val="left" w:pos="-720"/>
        <w:tab w:val="left" w:pos="360"/>
        <w:tab w:val="left" w:pos="720"/>
        <w:tab w:val="left" w:pos="1080"/>
        <w:tab w:val="left" w:pos="1440"/>
        <w:tab w:val="left" w:pos="1800"/>
        <w:tab w:val="left" w:pos="2160"/>
        <w:tab w:val="left" w:pos="2520"/>
        <w:tab w:val="left" w:pos="2880"/>
      </w:tabs>
      <w:jc w:val="both"/>
    </w:pPr>
  </w:style>
  <w:style w:type="character" w:customStyle="1" w:styleId="BodyText2Char">
    <w:name w:val="Body Text 2 Char"/>
    <w:basedOn w:val="DefaultParagraphFont"/>
    <w:link w:val="BodyText2"/>
    <w:rsid w:val="003A4B96"/>
    <w:rPr>
      <w:rFonts w:ascii="Arial" w:eastAsia="Times New Roman" w:hAnsi="Arial" w:cs="Arial"/>
    </w:rPr>
  </w:style>
  <w:style w:type="character" w:styleId="Hyperlink">
    <w:name w:val="Hyperlink"/>
    <w:rsid w:val="003A4B96"/>
    <w:rPr>
      <w:color w:val="0000FF"/>
      <w:u w:val="single"/>
    </w:rPr>
  </w:style>
  <w:style w:type="table" w:styleId="TableGrid">
    <w:name w:val="Table Grid"/>
    <w:basedOn w:val="TableNormal"/>
    <w:rsid w:val="003A4B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B96"/>
    <w:pPr>
      <w:ind w:left="720"/>
      <w:contextualSpacing/>
    </w:pPr>
  </w:style>
  <w:style w:type="character" w:styleId="CommentReference">
    <w:name w:val="annotation reference"/>
    <w:basedOn w:val="DefaultParagraphFont"/>
    <w:rsid w:val="008466FD"/>
    <w:rPr>
      <w:sz w:val="16"/>
      <w:szCs w:val="16"/>
    </w:rPr>
  </w:style>
  <w:style w:type="paragraph" w:styleId="CommentText">
    <w:name w:val="annotation text"/>
    <w:basedOn w:val="Normal"/>
    <w:link w:val="CommentTextChar"/>
    <w:rsid w:val="008466FD"/>
    <w:rPr>
      <w:sz w:val="20"/>
      <w:szCs w:val="20"/>
    </w:rPr>
  </w:style>
  <w:style w:type="character" w:customStyle="1" w:styleId="CommentTextChar">
    <w:name w:val="Comment Text Char"/>
    <w:basedOn w:val="DefaultParagraphFont"/>
    <w:link w:val="CommentText"/>
    <w:rsid w:val="008466FD"/>
    <w:rPr>
      <w:rFonts w:ascii="Arial" w:eastAsia="Times New Roman" w:hAnsi="Arial" w:cs="Arial"/>
      <w:sz w:val="20"/>
      <w:szCs w:val="20"/>
    </w:rPr>
  </w:style>
  <w:style w:type="paragraph" w:styleId="BalloonText">
    <w:name w:val="Balloon Text"/>
    <w:basedOn w:val="Normal"/>
    <w:link w:val="BalloonTextChar"/>
    <w:uiPriority w:val="99"/>
    <w:semiHidden/>
    <w:unhideWhenUsed/>
    <w:rsid w:val="008466FD"/>
    <w:rPr>
      <w:rFonts w:ascii="Tahoma" w:hAnsi="Tahoma" w:cs="Tahoma"/>
      <w:sz w:val="16"/>
      <w:szCs w:val="16"/>
    </w:rPr>
  </w:style>
  <w:style w:type="character" w:customStyle="1" w:styleId="BalloonTextChar">
    <w:name w:val="Balloon Text Char"/>
    <w:basedOn w:val="DefaultParagraphFont"/>
    <w:link w:val="BalloonText"/>
    <w:uiPriority w:val="99"/>
    <w:semiHidden/>
    <w:rsid w:val="008466F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06408"/>
    <w:rPr>
      <w:b/>
      <w:bCs/>
    </w:rPr>
  </w:style>
  <w:style w:type="character" w:customStyle="1" w:styleId="CommentSubjectChar">
    <w:name w:val="Comment Subject Char"/>
    <w:basedOn w:val="CommentTextChar"/>
    <w:link w:val="CommentSubject"/>
    <w:uiPriority w:val="99"/>
    <w:semiHidden/>
    <w:rsid w:val="00C06408"/>
    <w:rPr>
      <w:rFonts w:ascii="Arial" w:eastAsia="Times New Roman" w:hAnsi="Arial" w:cs="Arial"/>
      <w:b/>
      <w:bCs/>
      <w:sz w:val="20"/>
      <w:szCs w:val="20"/>
    </w:rPr>
  </w:style>
  <w:style w:type="paragraph" w:styleId="Header">
    <w:name w:val="header"/>
    <w:basedOn w:val="Normal"/>
    <w:link w:val="HeaderChar"/>
    <w:uiPriority w:val="99"/>
    <w:unhideWhenUsed/>
    <w:rsid w:val="00C3058E"/>
    <w:pPr>
      <w:tabs>
        <w:tab w:val="center" w:pos="4680"/>
        <w:tab w:val="right" w:pos="9360"/>
      </w:tabs>
    </w:pPr>
  </w:style>
  <w:style w:type="character" w:customStyle="1" w:styleId="HeaderChar">
    <w:name w:val="Header Char"/>
    <w:basedOn w:val="DefaultParagraphFont"/>
    <w:link w:val="Header"/>
    <w:uiPriority w:val="99"/>
    <w:rsid w:val="00C3058E"/>
    <w:rPr>
      <w:rFonts w:ascii="Arial" w:eastAsia="Times New Roman" w:hAnsi="Arial" w:cs="Arial"/>
    </w:rPr>
  </w:style>
  <w:style w:type="paragraph" w:styleId="Footer">
    <w:name w:val="footer"/>
    <w:basedOn w:val="Normal"/>
    <w:link w:val="FooterChar"/>
    <w:uiPriority w:val="99"/>
    <w:unhideWhenUsed/>
    <w:rsid w:val="00C3058E"/>
    <w:pPr>
      <w:tabs>
        <w:tab w:val="center" w:pos="4680"/>
        <w:tab w:val="right" w:pos="9360"/>
      </w:tabs>
    </w:pPr>
  </w:style>
  <w:style w:type="character" w:customStyle="1" w:styleId="FooterChar">
    <w:name w:val="Footer Char"/>
    <w:basedOn w:val="DefaultParagraphFont"/>
    <w:link w:val="Footer"/>
    <w:uiPriority w:val="99"/>
    <w:rsid w:val="00C3058E"/>
    <w:rPr>
      <w:rFonts w:ascii="Arial" w:eastAsia="Times New Roman" w:hAnsi="Arial" w:cs="Arial"/>
    </w:rPr>
  </w:style>
  <w:style w:type="character" w:styleId="FollowedHyperlink">
    <w:name w:val="FollowedHyperlink"/>
    <w:basedOn w:val="DefaultParagraphFont"/>
    <w:uiPriority w:val="99"/>
    <w:semiHidden/>
    <w:unhideWhenUsed/>
    <w:rsid w:val="00B67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getzero.com/" TargetMode="External"/><Relationship Id="rId13" Type="http://schemas.openxmlformats.org/officeDocument/2006/relationships/hyperlink" Target="mailto:mmedalen@wtsc.w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sdot.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fety.transportation.org/guide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htsa.dot.gov/people/injury/airbags/Countermeasures/index.htm" TargetMode="External"/><Relationship Id="rId4" Type="http://schemas.openxmlformats.org/officeDocument/2006/relationships/settings" Target="settings.xml"/><Relationship Id="rId9" Type="http://schemas.openxmlformats.org/officeDocument/2006/relationships/hyperlink" Target="http://wtsc.wa.gov/programs-priorities/impaired-driving/" TargetMode="External"/><Relationship Id="rId14" Type="http://schemas.openxmlformats.org/officeDocument/2006/relationships/hyperlink" Target="mailto:mmedalen@wts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Madill, Christopher (WTSC)</dc:creator>
  <cp:lastModifiedBy>Medalen, Mark (WTSC)</cp:lastModifiedBy>
  <cp:revision>5</cp:revision>
  <dcterms:created xsi:type="dcterms:W3CDTF">2015-08-19T16:58:00Z</dcterms:created>
  <dcterms:modified xsi:type="dcterms:W3CDTF">2015-08-19T17:37:00Z</dcterms:modified>
</cp:coreProperties>
</file>